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6"/>
        </w:rPr>
      </w:pPr>
    </w:p>
    <w:p>
      <w:pPr>
        <w:pStyle w:val="BodyText"/>
        <w:rPr>
          <w:sz w:val="36"/>
        </w:rPr>
      </w:pPr>
    </w:p>
    <w:p>
      <w:pPr>
        <w:pStyle w:val="BodyText"/>
        <w:rPr>
          <w:sz w:val="36"/>
        </w:rPr>
      </w:pPr>
    </w:p>
    <w:p>
      <w:pPr>
        <w:pStyle w:val="BodyText"/>
        <w:rPr>
          <w:sz w:val="36"/>
        </w:rPr>
      </w:pPr>
    </w:p>
    <w:p>
      <w:pPr>
        <w:pStyle w:val="BodyText"/>
        <w:spacing w:before="147"/>
        <w:rPr>
          <w:sz w:val="36"/>
        </w:rPr>
      </w:pPr>
    </w:p>
    <w:p>
      <w:pPr>
        <w:pStyle w:val="Title"/>
        <w:ind w:left="493" w:right="494"/>
      </w:pPr>
      <w:r>
        <w:rPr/>
        <w:t>CÂMARA</w:t>
      </w:r>
      <w:r>
        <w:rPr>
          <w:spacing w:val="-13"/>
        </w:rPr>
        <w:t> </w:t>
      </w:r>
      <w:r>
        <w:rPr/>
        <w:t>MUNICIPAL</w:t>
      </w:r>
      <w:r>
        <w:rPr>
          <w:spacing w:val="-12"/>
        </w:rPr>
        <w:t> </w:t>
      </w:r>
      <w:r>
        <w:rPr/>
        <w:t>DE</w:t>
      </w:r>
      <w:r>
        <w:rPr>
          <w:spacing w:val="-12"/>
        </w:rPr>
        <w:t> </w:t>
      </w:r>
      <w:r>
        <w:rPr/>
        <w:t>TRAVESSEIRO ESTADO DO RIO GRANDE DO SUL</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413"/>
        <w:rPr>
          <w:b/>
          <w:sz w:val="36"/>
        </w:rPr>
      </w:pPr>
    </w:p>
    <w:p>
      <w:pPr>
        <w:pStyle w:val="Title"/>
      </w:pPr>
      <w:r>
        <w:rPr/>
        <w:t>PLANO</w:t>
      </w:r>
      <w:r>
        <w:rPr>
          <w:spacing w:val="-7"/>
        </w:rPr>
        <w:t> </w:t>
      </w:r>
      <w:r>
        <w:rPr/>
        <w:t>ANUAL</w:t>
      </w:r>
      <w:r>
        <w:rPr>
          <w:spacing w:val="-7"/>
        </w:rPr>
        <w:t> </w:t>
      </w:r>
      <w:r>
        <w:rPr/>
        <w:t>DE</w:t>
      </w:r>
      <w:r>
        <w:rPr>
          <w:spacing w:val="-7"/>
        </w:rPr>
        <w:t> </w:t>
      </w:r>
      <w:r>
        <w:rPr/>
        <w:t>COMPRAS</w:t>
      </w:r>
      <w:r>
        <w:rPr>
          <w:spacing w:val="-9"/>
        </w:rPr>
        <w:t> </w:t>
      </w:r>
      <w:r>
        <w:rPr/>
        <w:t>E</w:t>
      </w:r>
      <w:r>
        <w:rPr>
          <w:spacing w:val="-7"/>
        </w:rPr>
        <w:t> </w:t>
      </w:r>
      <w:r>
        <w:rPr/>
        <w:t>CONTRATAÇÕES PAC– 2026</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278"/>
        <w:rPr>
          <w:b/>
          <w:sz w:val="36"/>
        </w:rPr>
      </w:pPr>
    </w:p>
    <w:p>
      <w:pPr>
        <w:spacing w:before="0"/>
        <w:ind w:left="33" w:right="33" w:firstLine="0"/>
        <w:jc w:val="center"/>
        <w:rPr>
          <w:b/>
          <w:sz w:val="24"/>
        </w:rPr>
      </w:pPr>
      <w:r>
        <w:rPr>
          <w:b/>
          <w:sz w:val="24"/>
        </w:rPr>
        <w:t>MARÇO</w:t>
      </w:r>
      <w:r>
        <w:rPr>
          <w:b/>
          <w:spacing w:val="-1"/>
          <w:sz w:val="24"/>
        </w:rPr>
        <w:t> </w:t>
      </w:r>
      <w:r>
        <w:rPr>
          <w:b/>
          <w:sz w:val="24"/>
        </w:rPr>
        <w:t>-</w:t>
      </w:r>
      <w:r>
        <w:rPr>
          <w:b/>
          <w:spacing w:val="-2"/>
          <w:sz w:val="24"/>
        </w:rPr>
        <w:t> </w:t>
      </w:r>
      <w:r>
        <w:rPr>
          <w:b/>
          <w:spacing w:val="-4"/>
          <w:sz w:val="24"/>
        </w:rPr>
        <w:t>2025</w:t>
      </w:r>
    </w:p>
    <w:p>
      <w:pPr>
        <w:spacing w:after="0"/>
        <w:jc w:val="center"/>
        <w:rPr>
          <w:b/>
          <w:sz w:val="24"/>
        </w:rPr>
        <w:sectPr>
          <w:headerReference w:type="default" r:id="rId5"/>
          <w:type w:val="continuous"/>
          <w:pgSz w:w="11910" w:h="16840"/>
          <w:pgMar w:header="493" w:footer="0" w:top="2040" w:bottom="280" w:left="1417" w:right="992"/>
          <w:pgNumType w:start="1"/>
        </w:sect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8"/>
        <w:rPr>
          <w:b/>
          <w:sz w:val="24"/>
        </w:rPr>
      </w:pPr>
    </w:p>
    <w:p>
      <w:pPr>
        <w:spacing w:before="1"/>
        <w:ind w:left="493" w:right="494" w:firstLine="0"/>
        <w:jc w:val="center"/>
        <w:rPr>
          <w:b/>
          <w:sz w:val="24"/>
        </w:rPr>
      </w:pPr>
      <w:r>
        <w:rPr>
          <w:b/>
          <w:sz w:val="24"/>
        </w:rPr>
        <w:t>CÂMARA</w:t>
      </w:r>
      <w:r>
        <w:rPr>
          <w:b/>
          <w:spacing w:val="-2"/>
          <w:sz w:val="24"/>
        </w:rPr>
        <w:t> </w:t>
      </w:r>
      <w:r>
        <w:rPr>
          <w:b/>
          <w:sz w:val="24"/>
        </w:rPr>
        <w:t>MUNICIPAL DE</w:t>
      </w:r>
      <w:r>
        <w:rPr>
          <w:b/>
          <w:spacing w:val="1"/>
          <w:sz w:val="24"/>
        </w:rPr>
        <w:t> </w:t>
      </w:r>
      <w:r>
        <w:rPr>
          <w:b/>
          <w:spacing w:val="-2"/>
          <w:sz w:val="24"/>
        </w:rPr>
        <w:t>TRAVESSEIRO/RS</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252"/>
        <w:rPr>
          <w:b/>
          <w:sz w:val="24"/>
        </w:rPr>
      </w:pPr>
    </w:p>
    <w:p>
      <w:pPr>
        <w:pStyle w:val="Heading1"/>
        <w:spacing w:line="252" w:lineRule="exact"/>
      </w:pPr>
      <w:r>
        <w:rPr/>
        <w:t>ADRIANO</w:t>
      </w:r>
      <w:r>
        <w:rPr>
          <w:spacing w:val="-7"/>
        </w:rPr>
        <w:t> </w:t>
      </w:r>
      <w:r>
        <w:rPr>
          <w:spacing w:val="-2"/>
        </w:rPr>
        <w:t>STEFFLER</w:t>
      </w:r>
    </w:p>
    <w:p>
      <w:pPr>
        <w:pStyle w:val="BodyText"/>
        <w:spacing w:line="252" w:lineRule="exact"/>
        <w:ind w:left="493" w:right="494"/>
        <w:jc w:val="center"/>
      </w:pPr>
      <w:r>
        <w:rPr/>
        <w:t>PRESIDENTE</w:t>
      </w:r>
      <w:r>
        <w:rPr>
          <w:spacing w:val="-7"/>
        </w:rPr>
        <w:t> </w:t>
      </w:r>
      <w:r>
        <w:rPr/>
        <w:t>DO</w:t>
      </w:r>
      <w:r>
        <w:rPr>
          <w:spacing w:val="-7"/>
        </w:rPr>
        <w:t> </w:t>
      </w:r>
      <w:r>
        <w:rPr/>
        <w:t>PODER</w:t>
      </w:r>
      <w:r>
        <w:rPr>
          <w:spacing w:val="-7"/>
        </w:rPr>
        <w:t> </w:t>
      </w:r>
      <w:r>
        <w:rPr/>
        <w:t>LEGISLATIVO</w:t>
      </w:r>
      <w:r>
        <w:rPr>
          <w:spacing w:val="-7"/>
        </w:rPr>
        <w:t> </w:t>
      </w:r>
      <w:r>
        <w:rPr>
          <w:spacing w:val="-2"/>
        </w:rPr>
        <w:t>MUNICIPAL</w:t>
      </w:r>
    </w:p>
    <w:p>
      <w:pPr>
        <w:pStyle w:val="BodyText"/>
      </w:pPr>
    </w:p>
    <w:p>
      <w:pPr>
        <w:pStyle w:val="BodyText"/>
      </w:pPr>
    </w:p>
    <w:p>
      <w:pPr>
        <w:pStyle w:val="BodyText"/>
      </w:pPr>
    </w:p>
    <w:p>
      <w:pPr>
        <w:pStyle w:val="BodyText"/>
      </w:pPr>
    </w:p>
    <w:p>
      <w:pPr>
        <w:pStyle w:val="BodyText"/>
        <w:spacing w:before="1"/>
      </w:pPr>
    </w:p>
    <w:p>
      <w:pPr>
        <w:pStyle w:val="Heading1"/>
        <w:spacing w:line="253" w:lineRule="exact"/>
      </w:pPr>
      <w:r>
        <w:rPr/>
        <w:t>ALANA</w:t>
      </w:r>
      <w:r>
        <w:rPr>
          <w:spacing w:val="-8"/>
        </w:rPr>
        <w:t> </w:t>
      </w:r>
      <w:r>
        <w:rPr/>
        <w:t>ANDREINA</w:t>
      </w:r>
      <w:r>
        <w:rPr>
          <w:spacing w:val="-8"/>
        </w:rPr>
        <w:t> </w:t>
      </w:r>
      <w:r>
        <w:rPr>
          <w:spacing w:val="-2"/>
        </w:rPr>
        <w:t>SPIECKER</w:t>
      </w:r>
    </w:p>
    <w:p>
      <w:pPr>
        <w:pStyle w:val="BodyText"/>
        <w:spacing w:line="253" w:lineRule="exact"/>
        <w:ind w:left="33" w:right="33"/>
        <w:jc w:val="center"/>
      </w:pPr>
      <w:r>
        <w:rPr/>
        <w:t>ASSESSORA</w:t>
      </w:r>
      <w:r>
        <w:rPr>
          <w:spacing w:val="-8"/>
        </w:rPr>
        <w:t> </w:t>
      </w:r>
      <w:r>
        <w:rPr>
          <w:spacing w:val="-2"/>
        </w:rPr>
        <w:t>LEGISLATIVA</w:t>
      </w:r>
    </w:p>
    <w:p>
      <w:pPr>
        <w:pStyle w:val="BodyText"/>
      </w:pPr>
    </w:p>
    <w:p>
      <w:pPr>
        <w:pStyle w:val="BodyText"/>
      </w:pPr>
    </w:p>
    <w:p>
      <w:pPr>
        <w:pStyle w:val="BodyText"/>
      </w:pPr>
    </w:p>
    <w:p>
      <w:pPr>
        <w:pStyle w:val="BodyText"/>
      </w:pPr>
    </w:p>
    <w:p>
      <w:pPr>
        <w:pStyle w:val="BodyText"/>
        <w:spacing w:before="1"/>
      </w:pPr>
    </w:p>
    <w:p>
      <w:pPr>
        <w:pStyle w:val="Heading1"/>
        <w:spacing w:line="252" w:lineRule="exact" w:before="1"/>
        <w:ind w:left="496" w:right="494"/>
      </w:pPr>
      <w:r>
        <w:rPr/>
        <w:t>FÁBIO</w:t>
      </w:r>
      <w:r>
        <w:rPr>
          <w:spacing w:val="-5"/>
        </w:rPr>
        <w:t> </w:t>
      </w:r>
      <w:r>
        <w:rPr/>
        <w:t>ANDRÉ</w:t>
      </w:r>
      <w:r>
        <w:rPr>
          <w:spacing w:val="-6"/>
        </w:rPr>
        <w:t> </w:t>
      </w:r>
      <w:r>
        <w:rPr>
          <w:spacing w:val="-4"/>
        </w:rPr>
        <w:t>GISCH</w:t>
      </w:r>
    </w:p>
    <w:p>
      <w:pPr>
        <w:pStyle w:val="BodyText"/>
        <w:spacing w:line="252" w:lineRule="exact"/>
        <w:ind w:left="33" w:right="33"/>
        <w:jc w:val="center"/>
      </w:pPr>
      <w:r>
        <w:rPr/>
        <w:t>ASSESSOR</w:t>
      </w:r>
      <w:r>
        <w:rPr>
          <w:spacing w:val="-7"/>
        </w:rPr>
        <w:t> </w:t>
      </w:r>
      <w:r>
        <w:rPr>
          <w:spacing w:val="-2"/>
        </w:rPr>
        <w:t>JURÍDICO</w:t>
      </w:r>
    </w:p>
    <w:p>
      <w:pPr>
        <w:pStyle w:val="BodyText"/>
        <w:spacing w:after="0" w:line="252" w:lineRule="exact"/>
        <w:jc w:val="center"/>
        <w:sectPr>
          <w:pgSz w:w="11910" w:h="16840"/>
          <w:pgMar w:header="493" w:footer="0" w:top="2040" w:bottom="280" w:left="1417" w:right="992"/>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145"/>
      </w:pPr>
    </w:p>
    <w:p>
      <w:pPr>
        <w:pStyle w:val="Heading1"/>
        <w:ind w:left="493" w:right="494"/>
      </w:pPr>
      <w:r>
        <w:rPr>
          <w:spacing w:val="-2"/>
        </w:rPr>
        <w:t>INTRODUÇÃO</w:t>
      </w:r>
    </w:p>
    <w:p>
      <w:pPr>
        <w:pStyle w:val="BodyText"/>
        <w:spacing w:before="252"/>
        <w:rPr>
          <w:b/>
        </w:rPr>
      </w:pPr>
    </w:p>
    <w:p>
      <w:pPr>
        <w:pStyle w:val="BodyText"/>
        <w:spacing w:before="1"/>
        <w:ind w:left="143" w:right="138"/>
        <w:jc w:val="both"/>
      </w:pPr>
      <w:r>
        <w:rPr/>
        <w:t>A compra pública, de modo geral, se baseia na busca essencial pela opção mais vantajosa. Nem sempre</w:t>
      </w:r>
      <w:r>
        <w:rPr>
          <w:spacing w:val="40"/>
        </w:rPr>
        <w:t> </w:t>
      </w:r>
      <w:r>
        <w:rPr/>
        <w:t>a situação mais vantajosa é a de menor valor, porém há um círculo vicioso dentro da Administração Pública na obtenção do menor preço, prejudicando principalmente a qualidade dos produtos e serviços, mantendo a celeridade, isonomia, transparência do rito processual. O aperfeiçoamento das normativas e práticas envolvidas nos processos de compras atuais cria desafios de tornar os objetivos muito mais eficientes. O constante debate no desenvolvimento de regras formais que administrem os contratos públicos de modo justo se dá devido ao enorme poder econômico das compras públicas, avaliando os variados riscos para torná-los mais transparentes e dinâmicos. A igualdade de oportunidades para os interessados, a honestidade e integridade na seleção dos fornecedores, criam requisitos para controle interno e documentação de todas as decisões tomadas em processos formais de aprovação. Dentre tais motivos, a licitação é um procedimento administrativo praticado de forma obrigatória pelas entidades governamentais, e seguindo o tratamento isonômico entre os participantes, selecionando a proposta apta a gerar o resultado mais vantajoso, uma vez preenchidos os requisitos mínimos necessários ao bom cumprimento das obrigações. Os objetivos do processo licitatório estão definidos por lei, mais especificamente no art. 11 da Lei nº 14.133/2021: I - assegurar a seleção da proposta apta a gerar o resultado de contratação mais vantajoso para a Administração Pública, inclusive no que se refere ao ciclo de vida do objeto;</w:t>
      </w:r>
    </w:p>
    <w:p>
      <w:pPr>
        <w:pStyle w:val="ListParagraph"/>
        <w:numPr>
          <w:ilvl w:val="0"/>
          <w:numId w:val="1"/>
        </w:numPr>
        <w:tabs>
          <w:tab w:pos="344" w:val="left" w:leader="none"/>
        </w:tabs>
        <w:spacing w:line="240" w:lineRule="auto" w:before="1" w:after="0"/>
        <w:ind w:left="344" w:right="0" w:hanging="201"/>
        <w:jc w:val="both"/>
        <w:rPr>
          <w:sz w:val="22"/>
        </w:rPr>
      </w:pPr>
      <w:r>
        <w:rPr>
          <w:sz w:val="22"/>
        </w:rPr>
        <w:t>-</w:t>
      </w:r>
      <w:r>
        <w:rPr>
          <w:spacing w:val="-5"/>
          <w:sz w:val="22"/>
        </w:rPr>
        <w:t> </w:t>
      </w:r>
      <w:r>
        <w:rPr>
          <w:sz w:val="22"/>
        </w:rPr>
        <w:t>assegurar</w:t>
      </w:r>
      <w:r>
        <w:rPr>
          <w:spacing w:val="-4"/>
          <w:sz w:val="22"/>
        </w:rPr>
        <w:t> </w:t>
      </w:r>
      <w:r>
        <w:rPr>
          <w:sz w:val="22"/>
        </w:rPr>
        <w:t>tratamento</w:t>
      </w:r>
      <w:r>
        <w:rPr>
          <w:spacing w:val="-3"/>
          <w:sz w:val="22"/>
        </w:rPr>
        <w:t> </w:t>
      </w:r>
      <w:r>
        <w:rPr>
          <w:sz w:val="22"/>
        </w:rPr>
        <w:t>isonômico</w:t>
      </w:r>
      <w:r>
        <w:rPr>
          <w:spacing w:val="-4"/>
          <w:sz w:val="22"/>
        </w:rPr>
        <w:t> </w:t>
      </w:r>
      <w:r>
        <w:rPr>
          <w:sz w:val="22"/>
        </w:rPr>
        <w:t>entre</w:t>
      </w:r>
      <w:r>
        <w:rPr>
          <w:spacing w:val="-3"/>
          <w:sz w:val="22"/>
        </w:rPr>
        <w:t> </w:t>
      </w:r>
      <w:r>
        <w:rPr>
          <w:sz w:val="22"/>
        </w:rPr>
        <w:t>os</w:t>
      </w:r>
      <w:r>
        <w:rPr>
          <w:spacing w:val="-3"/>
          <w:sz w:val="22"/>
        </w:rPr>
        <w:t> </w:t>
      </w:r>
      <w:r>
        <w:rPr>
          <w:sz w:val="22"/>
        </w:rPr>
        <w:t>licitantes,</w:t>
      </w:r>
      <w:r>
        <w:rPr>
          <w:spacing w:val="-5"/>
          <w:sz w:val="22"/>
        </w:rPr>
        <w:t> </w:t>
      </w:r>
      <w:r>
        <w:rPr>
          <w:sz w:val="22"/>
        </w:rPr>
        <w:t>bem</w:t>
      </w:r>
      <w:r>
        <w:rPr>
          <w:spacing w:val="-4"/>
          <w:sz w:val="22"/>
        </w:rPr>
        <w:t> </w:t>
      </w:r>
      <w:r>
        <w:rPr>
          <w:sz w:val="22"/>
        </w:rPr>
        <w:t>como</w:t>
      </w:r>
      <w:r>
        <w:rPr>
          <w:spacing w:val="-3"/>
          <w:sz w:val="22"/>
        </w:rPr>
        <w:t> </w:t>
      </w:r>
      <w:r>
        <w:rPr>
          <w:sz w:val="22"/>
        </w:rPr>
        <w:t>a</w:t>
      </w:r>
      <w:r>
        <w:rPr>
          <w:spacing w:val="-5"/>
          <w:sz w:val="22"/>
        </w:rPr>
        <w:t> </w:t>
      </w:r>
      <w:r>
        <w:rPr>
          <w:sz w:val="22"/>
        </w:rPr>
        <w:t>justa</w:t>
      </w:r>
      <w:r>
        <w:rPr>
          <w:spacing w:val="-2"/>
          <w:sz w:val="22"/>
        </w:rPr>
        <w:t> competição;</w:t>
      </w:r>
    </w:p>
    <w:p>
      <w:pPr>
        <w:pStyle w:val="ListParagraph"/>
        <w:numPr>
          <w:ilvl w:val="0"/>
          <w:numId w:val="1"/>
        </w:numPr>
        <w:tabs>
          <w:tab w:pos="542" w:val="left" w:leader="none"/>
        </w:tabs>
        <w:spacing w:line="240" w:lineRule="auto" w:before="1" w:after="0"/>
        <w:ind w:left="143" w:right="145" w:firstLine="0"/>
        <w:jc w:val="both"/>
        <w:rPr>
          <w:sz w:val="22"/>
        </w:rPr>
      </w:pPr>
      <w:r>
        <w:rPr>
          <w:sz w:val="22"/>
        </w:rPr>
        <w:t>- evitar contratações com sobre preço ou com preços manifestamente inexequíveis e superfaturamento na execução dos contratos;</w:t>
      </w:r>
    </w:p>
    <w:p>
      <w:pPr>
        <w:pStyle w:val="ListParagraph"/>
        <w:numPr>
          <w:ilvl w:val="0"/>
          <w:numId w:val="1"/>
        </w:numPr>
        <w:tabs>
          <w:tab w:pos="460" w:val="left" w:leader="none"/>
        </w:tabs>
        <w:spacing w:line="240" w:lineRule="auto" w:before="0" w:after="0"/>
        <w:ind w:left="143" w:right="144" w:firstLine="0"/>
        <w:jc w:val="both"/>
        <w:rPr>
          <w:sz w:val="22"/>
        </w:rPr>
      </w:pPr>
      <w:r>
        <w:rPr>
          <w:sz w:val="22"/>
        </w:rPr>
        <w:t>- incentivar a inovação e o desenvolvimento nacional sustentável. Na legislação, obras, serviços, compras e alienações serão contratados mediante processo de licitação pública, ressalvados os casos especificados (Art. 37,XXI, CF/88). Contudo, a elaboração de instrumentos de planejamento é indispensável</w:t>
      </w:r>
      <w:r>
        <w:rPr>
          <w:spacing w:val="-1"/>
          <w:sz w:val="22"/>
        </w:rPr>
        <w:t> </w:t>
      </w:r>
      <w:r>
        <w:rPr>
          <w:sz w:val="22"/>
        </w:rPr>
        <w:t>para o cumprimento das disposições previstas na legislação, e com o advento da nova Lei de licitações, surge o Plano Anual de Compras - PAC.</w:t>
      </w:r>
    </w:p>
    <w:p>
      <w:pPr>
        <w:pStyle w:val="BodyText"/>
      </w:pPr>
    </w:p>
    <w:p>
      <w:pPr>
        <w:pStyle w:val="BodyText"/>
      </w:pPr>
    </w:p>
    <w:p>
      <w:pPr>
        <w:pStyle w:val="BodyText"/>
      </w:pPr>
    </w:p>
    <w:p>
      <w:pPr>
        <w:pStyle w:val="Heading1"/>
        <w:ind w:left="36"/>
      </w:pPr>
      <w:r>
        <w:rPr/>
        <w:t>PLANO</w:t>
      </w:r>
      <w:r>
        <w:rPr>
          <w:spacing w:val="-4"/>
        </w:rPr>
        <w:t> </w:t>
      </w:r>
      <w:r>
        <w:rPr/>
        <w:t>ANUAL</w:t>
      </w:r>
      <w:r>
        <w:rPr>
          <w:spacing w:val="-5"/>
        </w:rPr>
        <w:t> </w:t>
      </w:r>
      <w:r>
        <w:rPr/>
        <w:t>DE</w:t>
      </w:r>
      <w:r>
        <w:rPr>
          <w:spacing w:val="-6"/>
        </w:rPr>
        <w:t> </w:t>
      </w:r>
      <w:r>
        <w:rPr/>
        <w:t>COMPRAS</w:t>
      </w:r>
      <w:r>
        <w:rPr>
          <w:spacing w:val="-4"/>
        </w:rPr>
        <w:t> </w:t>
      </w:r>
      <w:r>
        <w:rPr/>
        <w:t>–</w:t>
      </w:r>
      <w:r>
        <w:rPr>
          <w:spacing w:val="-4"/>
        </w:rPr>
        <w:t> </w:t>
      </w:r>
      <w:r>
        <w:rPr>
          <w:spacing w:val="-5"/>
        </w:rPr>
        <w:t>PAC</w:t>
      </w:r>
    </w:p>
    <w:p>
      <w:pPr>
        <w:pStyle w:val="BodyText"/>
        <w:rPr>
          <w:b/>
        </w:rPr>
      </w:pPr>
    </w:p>
    <w:p>
      <w:pPr>
        <w:pStyle w:val="BodyText"/>
        <w:rPr>
          <w:b/>
        </w:rPr>
      </w:pPr>
    </w:p>
    <w:p>
      <w:pPr>
        <w:pStyle w:val="BodyText"/>
        <w:ind w:left="143" w:right="143"/>
        <w:jc w:val="both"/>
      </w:pPr>
      <w:r>
        <w:rPr/>
        <w:t>Visando aprimorar a gestão pública no cenário de compras e serviços contratados, a nova Lei de licitações, Lei nº 14.133/2021, traz de forma simplificada em seu art. 5º que o planejamento é um conjunto de ações e procedimentos visando à realização dos projetos. Portanto, para realizarmos um</w:t>
      </w:r>
      <w:r>
        <w:rPr>
          <w:spacing w:val="40"/>
        </w:rPr>
        <w:t> </w:t>
      </w:r>
      <w:r>
        <w:rPr/>
        <w:t>bom planejamento o primeiro passo é entender seu significado e como funciona o processo de planejar, identificando os recursos necessários, as tarefas a serem executadas, as ações a serem tomadas e os tempos a serem seguidos. A possibilidade de elaboração do PAC de cada ente federativo está previsto</w:t>
      </w:r>
      <w:r>
        <w:rPr>
          <w:spacing w:val="40"/>
        </w:rPr>
        <w:t> </w:t>
      </w:r>
      <w:r>
        <w:rPr/>
        <w:t>no art. 12, inciso VII: -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 estratégico e subsidiar a elaboração das respectivas leis orçamentárias. Já o art. 18 traz a necessidade de compatibilização da contratação com o PAC,</w:t>
      </w:r>
      <w:r>
        <w:rPr>
          <w:spacing w:val="7"/>
        </w:rPr>
        <w:t> </w:t>
      </w:r>
      <w:r>
        <w:rPr/>
        <w:t>ou</w:t>
      </w:r>
      <w:r>
        <w:rPr>
          <w:spacing w:val="7"/>
        </w:rPr>
        <w:t> </w:t>
      </w:r>
      <w:r>
        <w:rPr/>
        <w:t>seja,</w:t>
      </w:r>
      <w:r>
        <w:rPr>
          <w:spacing w:val="9"/>
        </w:rPr>
        <w:t> </w:t>
      </w:r>
      <w:r>
        <w:rPr/>
        <w:t>deve</w:t>
      </w:r>
      <w:r>
        <w:rPr>
          <w:spacing w:val="8"/>
        </w:rPr>
        <w:t> </w:t>
      </w:r>
      <w:r>
        <w:rPr/>
        <w:t>ocorrer</w:t>
      </w:r>
      <w:r>
        <w:rPr>
          <w:spacing w:val="7"/>
        </w:rPr>
        <w:t> </w:t>
      </w:r>
      <w:r>
        <w:rPr/>
        <w:t>alinhamento</w:t>
      </w:r>
      <w:r>
        <w:rPr>
          <w:spacing w:val="7"/>
        </w:rPr>
        <w:t> </w:t>
      </w:r>
      <w:r>
        <w:rPr/>
        <w:t>com</w:t>
      </w:r>
      <w:r>
        <w:rPr>
          <w:spacing w:val="9"/>
        </w:rPr>
        <w:t> </w:t>
      </w:r>
      <w:r>
        <w:rPr/>
        <w:t>o</w:t>
      </w:r>
      <w:r>
        <w:rPr>
          <w:spacing w:val="7"/>
        </w:rPr>
        <w:t> </w:t>
      </w:r>
      <w:r>
        <w:rPr/>
        <w:t>planejamento</w:t>
      </w:r>
      <w:r>
        <w:rPr>
          <w:spacing w:val="8"/>
        </w:rPr>
        <w:t> </w:t>
      </w:r>
      <w:r>
        <w:rPr/>
        <w:t>estratégico</w:t>
      </w:r>
      <w:r>
        <w:rPr>
          <w:spacing w:val="8"/>
        </w:rPr>
        <w:t> </w:t>
      </w:r>
      <w:r>
        <w:rPr/>
        <w:t>da</w:t>
      </w:r>
      <w:r>
        <w:rPr>
          <w:spacing w:val="8"/>
        </w:rPr>
        <w:t> </w:t>
      </w:r>
      <w:r>
        <w:rPr/>
        <w:t>Administração.</w:t>
      </w:r>
      <w:r>
        <w:rPr>
          <w:spacing w:val="8"/>
        </w:rPr>
        <w:t> </w:t>
      </w:r>
      <w:r>
        <w:rPr/>
        <w:t>Portanto,</w:t>
      </w:r>
      <w:r>
        <w:rPr>
          <w:spacing w:val="6"/>
        </w:rPr>
        <w:t> </w:t>
      </w:r>
      <w:r>
        <w:rPr>
          <w:spacing w:val="-10"/>
        </w:rPr>
        <w:t>o</w:t>
      </w:r>
    </w:p>
    <w:p>
      <w:pPr>
        <w:pStyle w:val="BodyText"/>
        <w:spacing w:after="0"/>
        <w:jc w:val="both"/>
        <w:sectPr>
          <w:pgSz w:w="11910" w:h="16840"/>
          <w:pgMar w:header="493" w:footer="0" w:top="2040" w:bottom="280" w:left="1417" w:right="992"/>
        </w:sectPr>
      </w:pPr>
    </w:p>
    <w:p>
      <w:pPr>
        <w:pStyle w:val="BodyText"/>
      </w:pPr>
    </w:p>
    <w:p>
      <w:pPr>
        <w:pStyle w:val="BodyText"/>
        <w:spacing w:before="54"/>
      </w:pPr>
    </w:p>
    <w:p>
      <w:pPr>
        <w:pStyle w:val="BodyText"/>
        <w:ind w:left="143" w:right="146"/>
        <w:jc w:val="both"/>
      </w:pPr>
      <w:r>
        <w:rPr/>
        <w:t>PAC auxilia a organização na busca de suas metas e objetivos, permitindo uma análise gerencial, auxiliando o nível intermediário e o nível estratégico nas decisões e possíveis intervenções.</w:t>
      </w:r>
    </w:p>
    <w:p>
      <w:pPr>
        <w:pStyle w:val="BodyText"/>
      </w:pPr>
    </w:p>
    <w:p>
      <w:pPr>
        <w:pStyle w:val="BodyText"/>
      </w:pPr>
    </w:p>
    <w:p>
      <w:pPr>
        <w:pStyle w:val="BodyText"/>
      </w:pPr>
    </w:p>
    <w:p>
      <w:pPr>
        <w:pStyle w:val="Heading1"/>
      </w:pPr>
      <w:r>
        <w:rPr>
          <w:spacing w:val="-2"/>
        </w:rPr>
        <w:t>REGULAMENTAÇÃO</w:t>
      </w:r>
    </w:p>
    <w:p>
      <w:pPr>
        <w:pStyle w:val="BodyText"/>
        <w:spacing w:before="252"/>
        <w:rPr>
          <w:b/>
        </w:rPr>
      </w:pPr>
    </w:p>
    <w:p>
      <w:pPr>
        <w:pStyle w:val="BodyText"/>
        <w:ind w:left="143" w:right="134"/>
        <w:jc w:val="both"/>
      </w:pPr>
      <w:r>
        <w:rPr/>
        <w:t>No Município de Travesseiro a implantação do Plano Anual de Compras foi regulamentado, pelo Decreto Municipal n° 2.216 de 29 de dezembro de 2023, e na Câmara de Vereadores de Travesseiro foi regulamentado pela Resolução de Mesa Nº 001 de 29 de janeiro de 2024. O Plano Anual de Compras planejado pela Câmara Municipal de Travesseiro corresponde à lista de bens e/ou serviços que o Poder Legislativo Municipal almeja adquirir ou contratar durante um ano civil.</w:t>
      </w:r>
    </w:p>
    <w:p>
      <w:pPr>
        <w:pStyle w:val="ListParagraph"/>
        <w:numPr>
          <w:ilvl w:val="1"/>
          <w:numId w:val="1"/>
        </w:numPr>
        <w:tabs>
          <w:tab w:pos="387" w:val="left" w:leader="none"/>
        </w:tabs>
        <w:spacing w:line="240" w:lineRule="auto" w:before="1" w:after="0"/>
        <w:ind w:left="143" w:right="141" w:firstLine="0"/>
        <w:jc w:val="both"/>
        <w:rPr>
          <w:sz w:val="22"/>
        </w:rPr>
      </w:pPr>
      <w:r>
        <w:rPr>
          <w:sz w:val="22"/>
        </w:rPr>
        <w:t>Constituição Federal - Lei nº 8.666/1993 Regulamenta o art. 37 – institui normas para licitações e contratos da Administração Pública.</w:t>
      </w:r>
    </w:p>
    <w:p>
      <w:pPr>
        <w:pStyle w:val="ListParagraph"/>
        <w:numPr>
          <w:ilvl w:val="1"/>
          <w:numId w:val="1"/>
        </w:numPr>
        <w:tabs>
          <w:tab w:pos="367" w:val="left" w:leader="none"/>
        </w:tabs>
        <w:spacing w:line="240" w:lineRule="auto" w:before="0" w:after="0"/>
        <w:ind w:left="143" w:right="141" w:firstLine="0"/>
        <w:jc w:val="both"/>
        <w:rPr>
          <w:sz w:val="22"/>
        </w:rPr>
      </w:pPr>
      <w:r>
        <w:rPr>
          <w:sz w:val="22"/>
        </w:rPr>
        <w:t>Lei Federal nº 14.133/2021 art. 12, inciso VII -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w:t>
      </w:r>
      <w:r>
        <w:rPr>
          <w:spacing w:val="-3"/>
          <w:sz w:val="22"/>
        </w:rPr>
        <w:t> </w:t>
      </w:r>
      <w:r>
        <w:rPr>
          <w:sz w:val="22"/>
        </w:rPr>
        <w:t>estratégico e subsidiar a elaboração das respectivas leis orçamentárias.</w:t>
      </w:r>
    </w:p>
    <w:p>
      <w:pPr>
        <w:pStyle w:val="ListParagraph"/>
        <w:numPr>
          <w:ilvl w:val="1"/>
          <w:numId w:val="1"/>
        </w:numPr>
        <w:tabs>
          <w:tab w:pos="377" w:val="left" w:leader="none"/>
        </w:tabs>
        <w:spacing w:line="240" w:lineRule="auto" w:before="0" w:after="0"/>
        <w:ind w:left="143" w:right="138" w:firstLine="0"/>
        <w:jc w:val="both"/>
        <w:rPr>
          <w:sz w:val="22"/>
        </w:rPr>
      </w:pPr>
      <w:r>
        <w:rPr>
          <w:sz w:val="22"/>
        </w:rPr>
        <w:t>Lei Federal nº 10.520/2002 Institui a modalidade de licitação denominada pregão, para aquisição de bens e serviços comuns.</w:t>
      </w:r>
    </w:p>
    <w:p>
      <w:pPr>
        <w:pStyle w:val="ListParagraph"/>
        <w:numPr>
          <w:ilvl w:val="1"/>
          <w:numId w:val="1"/>
        </w:numPr>
        <w:tabs>
          <w:tab w:pos="374" w:val="left" w:leader="none"/>
        </w:tabs>
        <w:spacing w:line="240" w:lineRule="auto" w:before="1" w:after="0"/>
        <w:ind w:left="143" w:right="139" w:firstLine="0"/>
        <w:jc w:val="both"/>
        <w:rPr>
          <w:sz w:val="22"/>
        </w:rPr>
      </w:pPr>
      <w:r>
        <w:rPr>
          <w:sz w:val="22"/>
        </w:rPr>
        <w:t>Decreto Federal nº 5.450/2005 Regulamenta o pregão, na forma eletrônica, para aquisição de bens e serviços comuns.</w:t>
      </w:r>
    </w:p>
    <w:p>
      <w:pPr>
        <w:pStyle w:val="BodyText"/>
      </w:pPr>
    </w:p>
    <w:p>
      <w:pPr>
        <w:pStyle w:val="BodyText"/>
      </w:pPr>
    </w:p>
    <w:p>
      <w:pPr>
        <w:pStyle w:val="BodyText"/>
      </w:pPr>
    </w:p>
    <w:p>
      <w:pPr>
        <w:pStyle w:val="Heading1"/>
        <w:ind w:left="496" w:right="494"/>
      </w:pPr>
      <w:r>
        <w:rPr/>
        <w:t>ELABORAÇÃO</w:t>
      </w:r>
      <w:r>
        <w:rPr>
          <w:spacing w:val="-5"/>
        </w:rPr>
        <w:t> </w:t>
      </w:r>
      <w:r>
        <w:rPr/>
        <w:t>DO</w:t>
      </w:r>
      <w:r>
        <w:rPr>
          <w:spacing w:val="-5"/>
        </w:rPr>
        <w:t> </w:t>
      </w:r>
      <w:r>
        <w:rPr/>
        <w:t>PAC</w:t>
      </w:r>
      <w:r>
        <w:rPr>
          <w:spacing w:val="-6"/>
        </w:rPr>
        <w:t> </w:t>
      </w:r>
      <w:r>
        <w:rPr>
          <w:spacing w:val="-4"/>
        </w:rPr>
        <w:t>2026</w:t>
      </w:r>
    </w:p>
    <w:p>
      <w:pPr>
        <w:pStyle w:val="BodyText"/>
        <w:spacing w:before="252"/>
        <w:rPr>
          <w:b/>
        </w:rPr>
      </w:pPr>
    </w:p>
    <w:p>
      <w:pPr>
        <w:pStyle w:val="BodyText"/>
        <w:ind w:left="143" w:right="138"/>
        <w:jc w:val="both"/>
      </w:pPr>
      <w:r>
        <w:rPr/>
        <w:t>A primeira etapa da elaboração do Plano Anual de Compras foi apresentar ao legislativo municipal a importância de sua elaboração para a Administração Pública, para os fornecedores de bens e serviços e para a sociedade, sob as seguintes perspectivas:</w:t>
      </w:r>
    </w:p>
    <w:p>
      <w:pPr>
        <w:pStyle w:val="ListParagraph"/>
        <w:numPr>
          <w:ilvl w:val="2"/>
          <w:numId w:val="1"/>
        </w:numPr>
        <w:tabs>
          <w:tab w:pos="382" w:val="left" w:leader="none"/>
        </w:tabs>
        <w:spacing w:line="240" w:lineRule="auto" w:before="0" w:after="0"/>
        <w:ind w:left="143" w:right="139" w:firstLine="0"/>
        <w:jc w:val="left"/>
        <w:rPr>
          <w:sz w:val="22"/>
        </w:rPr>
      </w:pPr>
      <w:r>
        <w:rPr>
          <w:sz w:val="22"/>
        </w:rPr>
        <w:t>quanto ao aprendizado e crescimento da equipe municipal com o aperfeiçoamento das competências gerenciais e técnicas para as compras;</w:t>
      </w:r>
    </w:p>
    <w:p>
      <w:pPr>
        <w:pStyle w:val="ListParagraph"/>
        <w:numPr>
          <w:ilvl w:val="2"/>
          <w:numId w:val="1"/>
        </w:numPr>
        <w:tabs>
          <w:tab w:pos="381" w:val="left" w:leader="none"/>
        </w:tabs>
        <w:spacing w:line="252" w:lineRule="exact" w:before="0" w:after="0"/>
        <w:ind w:left="381" w:right="0" w:hanging="238"/>
        <w:jc w:val="left"/>
        <w:rPr>
          <w:sz w:val="22"/>
        </w:rPr>
      </w:pPr>
      <w:r>
        <w:rPr>
          <w:sz w:val="22"/>
        </w:rPr>
        <w:t>sob</w:t>
      </w:r>
      <w:r>
        <w:rPr>
          <w:spacing w:val="-5"/>
          <w:sz w:val="22"/>
        </w:rPr>
        <w:t> </w:t>
      </w:r>
      <w:r>
        <w:rPr>
          <w:sz w:val="22"/>
        </w:rPr>
        <w:t>os</w:t>
      </w:r>
      <w:r>
        <w:rPr>
          <w:spacing w:val="-3"/>
          <w:sz w:val="22"/>
        </w:rPr>
        <w:t> </w:t>
      </w:r>
      <w:r>
        <w:rPr>
          <w:sz w:val="22"/>
        </w:rPr>
        <w:t>aspectos</w:t>
      </w:r>
      <w:r>
        <w:rPr>
          <w:spacing w:val="-4"/>
          <w:sz w:val="22"/>
        </w:rPr>
        <w:t> </w:t>
      </w:r>
      <w:r>
        <w:rPr>
          <w:sz w:val="22"/>
        </w:rPr>
        <w:t>dos</w:t>
      </w:r>
      <w:r>
        <w:rPr>
          <w:spacing w:val="-5"/>
          <w:sz w:val="22"/>
        </w:rPr>
        <w:t> </w:t>
      </w:r>
      <w:r>
        <w:rPr>
          <w:sz w:val="22"/>
        </w:rPr>
        <w:t>recursos</w:t>
      </w:r>
      <w:r>
        <w:rPr>
          <w:spacing w:val="-4"/>
          <w:sz w:val="22"/>
        </w:rPr>
        <w:t> </w:t>
      </w:r>
      <w:r>
        <w:rPr>
          <w:sz w:val="22"/>
        </w:rPr>
        <w:t>públicos,</w:t>
      </w:r>
      <w:r>
        <w:rPr>
          <w:spacing w:val="-3"/>
          <w:sz w:val="22"/>
        </w:rPr>
        <w:t> </w:t>
      </w:r>
      <w:r>
        <w:rPr>
          <w:sz w:val="22"/>
        </w:rPr>
        <w:t>aprimorando</w:t>
      </w:r>
      <w:r>
        <w:rPr>
          <w:spacing w:val="-7"/>
          <w:sz w:val="22"/>
        </w:rPr>
        <w:t> </w:t>
      </w:r>
      <w:r>
        <w:rPr>
          <w:sz w:val="22"/>
        </w:rPr>
        <w:t>a</w:t>
      </w:r>
      <w:r>
        <w:rPr>
          <w:spacing w:val="-3"/>
          <w:sz w:val="22"/>
        </w:rPr>
        <w:t> </w:t>
      </w:r>
      <w:r>
        <w:rPr>
          <w:sz w:val="22"/>
        </w:rPr>
        <w:t>gestão</w:t>
      </w:r>
      <w:r>
        <w:rPr>
          <w:spacing w:val="-4"/>
          <w:sz w:val="22"/>
        </w:rPr>
        <w:t> </w:t>
      </w:r>
      <w:r>
        <w:rPr>
          <w:sz w:val="22"/>
        </w:rPr>
        <w:t>e</w:t>
      </w:r>
      <w:r>
        <w:rPr>
          <w:spacing w:val="-3"/>
          <w:sz w:val="22"/>
        </w:rPr>
        <w:t> </w:t>
      </w:r>
      <w:r>
        <w:rPr>
          <w:sz w:val="22"/>
        </w:rPr>
        <w:t>a</w:t>
      </w:r>
      <w:r>
        <w:rPr>
          <w:spacing w:val="-2"/>
          <w:sz w:val="22"/>
        </w:rPr>
        <w:t> </w:t>
      </w:r>
      <w:r>
        <w:rPr>
          <w:sz w:val="22"/>
        </w:rPr>
        <w:t>execução</w:t>
      </w:r>
      <w:r>
        <w:rPr>
          <w:spacing w:val="2"/>
          <w:sz w:val="22"/>
        </w:rPr>
        <w:t> </w:t>
      </w:r>
      <w:r>
        <w:rPr>
          <w:sz w:val="22"/>
        </w:rPr>
        <w:t>dos</w:t>
      </w:r>
      <w:r>
        <w:rPr>
          <w:spacing w:val="-3"/>
          <w:sz w:val="22"/>
        </w:rPr>
        <w:t> </w:t>
      </w:r>
      <w:r>
        <w:rPr>
          <w:sz w:val="22"/>
        </w:rPr>
        <w:t>gastos</w:t>
      </w:r>
      <w:r>
        <w:rPr>
          <w:spacing w:val="-2"/>
          <w:sz w:val="22"/>
        </w:rPr>
        <w:t> públicos;</w:t>
      </w:r>
    </w:p>
    <w:p>
      <w:pPr>
        <w:pStyle w:val="ListParagraph"/>
        <w:numPr>
          <w:ilvl w:val="2"/>
          <w:numId w:val="1"/>
        </w:numPr>
        <w:tabs>
          <w:tab w:pos="382" w:val="left" w:leader="none"/>
        </w:tabs>
        <w:spacing w:line="242" w:lineRule="auto" w:before="0" w:after="0"/>
        <w:ind w:left="143" w:right="137" w:firstLine="0"/>
        <w:jc w:val="left"/>
        <w:rPr>
          <w:sz w:val="22"/>
        </w:rPr>
      </w:pPr>
      <w:r>
        <w:rPr>
          <w:sz w:val="22"/>
        </w:rPr>
        <w:t>sob a perspectiva de resultados com a otimização da disponibilidade e do desempenho dos objetos a serem adquiridos;</w:t>
      </w:r>
    </w:p>
    <w:p>
      <w:pPr>
        <w:pStyle w:val="BodyText"/>
        <w:ind w:left="143" w:right="136"/>
        <w:jc w:val="both"/>
      </w:pPr>
      <w:r>
        <w:rPr/>
        <w:t>A segunda etapa consistiu no levantamento das necessidades junto a Câmara Municipal de Travesseiro. A terceira etapa compreendeu a consolidação e tratamento dos dados levantados visando a necessidade de cada setor envolvido. Para finalizar, o presente documento - PAC 2026 - foi elaborado sob a coordenação da Assessoria Legislativa e Jurídica da Câmara Municipal de Vereadores de Travesseiro, viabilizando a realização de futuras licitações conjuntas, otimizando custos, agilizando procedimentos e facilitando o controle das despesas.</w:t>
      </w:r>
      <w:r>
        <w:rPr>
          <w:spacing w:val="40"/>
        </w:rPr>
        <w:t> </w:t>
      </w:r>
      <w:r>
        <w:rPr/>
        <w:t>Cabe ressaltar que o presente plano poderá ser alterado ou modificado, caso ocorra, haverá a publicidade do mesmo com as justificativas devidas. Finalizadas as etapas internas, indicamos os itens que serão contemplados nos processos de compras e serviços que foram elaborados para o ano de 2026, resultando na criação do PAC aqui consubstanciado.</w:t>
      </w:r>
    </w:p>
    <w:p>
      <w:pPr>
        <w:pStyle w:val="BodyText"/>
        <w:spacing w:after="0"/>
        <w:jc w:val="both"/>
        <w:sectPr>
          <w:pgSz w:w="11910" w:h="16840"/>
          <w:pgMar w:header="493" w:footer="0" w:top="2040" w:bottom="280" w:left="1417" w:right="992"/>
        </w:sectPr>
      </w:pPr>
    </w:p>
    <w:p>
      <w:pPr>
        <w:pStyle w:val="BodyText"/>
        <w:rPr>
          <w:sz w:val="20"/>
        </w:rPr>
      </w:pPr>
    </w:p>
    <w:p>
      <w:pPr>
        <w:pStyle w:val="BodyText"/>
        <w:rPr>
          <w:sz w:val="20"/>
        </w:rPr>
      </w:pPr>
    </w:p>
    <w:p>
      <w:pPr>
        <w:pStyle w:val="BodyText"/>
        <w:rPr>
          <w:sz w:val="20"/>
        </w:rPr>
      </w:pPr>
    </w:p>
    <w:p>
      <w:pPr>
        <w:pStyle w:val="BodyText"/>
        <w:spacing w:before="193"/>
        <w:rPr>
          <w:sz w:val="20"/>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1983"/>
        <w:gridCol w:w="4823"/>
        <w:gridCol w:w="1539"/>
      </w:tblGrid>
      <w:tr>
        <w:trPr>
          <w:trHeight w:val="861" w:hRule="atLeast"/>
        </w:trPr>
        <w:tc>
          <w:tcPr>
            <w:tcW w:w="696" w:type="dxa"/>
          </w:tcPr>
          <w:p>
            <w:pPr>
              <w:pStyle w:val="TableParagraph"/>
              <w:spacing w:before="239"/>
              <w:rPr>
                <w:b/>
                <w:sz w:val="24"/>
              </w:rPr>
            </w:pPr>
            <w:r>
              <w:rPr>
                <w:b/>
                <w:spacing w:val="-4"/>
                <w:sz w:val="24"/>
              </w:rPr>
              <w:t>Item</w:t>
            </w:r>
          </w:p>
        </w:tc>
        <w:tc>
          <w:tcPr>
            <w:tcW w:w="1983" w:type="dxa"/>
          </w:tcPr>
          <w:p>
            <w:pPr>
              <w:pStyle w:val="TableParagraph"/>
              <w:spacing w:before="239"/>
              <w:ind w:left="189"/>
              <w:rPr>
                <w:b/>
                <w:sz w:val="24"/>
              </w:rPr>
            </w:pPr>
            <w:r>
              <w:rPr>
                <w:b/>
                <w:spacing w:val="-2"/>
                <w:sz w:val="24"/>
              </w:rPr>
              <w:t>Modalidade</w:t>
            </w:r>
          </w:p>
        </w:tc>
        <w:tc>
          <w:tcPr>
            <w:tcW w:w="4823" w:type="dxa"/>
          </w:tcPr>
          <w:p>
            <w:pPr>
              <w:pStyle w:val="TableParagraph"/>
              <w:spacing w:before="239"/>
              <w:ind w:left="758"/>
              <w:rPr>
                <w:b/>
                <w:sz w:val="24"/>
              </w:rPr>
            </w:pPr>
            <w:r>
              <w:rPr>
                <w:b/>
                <w:sz w:val="24"/>
              </w:rPr>
              <w:t>Descrição</w:t>
            </w:r>
            <w:r>
              <w:rPr>
                <w:b/>
                <w:spacing w:val="-4"/>
                <w:sz w:val="24"/>
              </w:rPr>
              <w:t> </w:t>
            </w:r>
            <w:r>
              <w:rPr>
                <w:b/>
                <w:sz w:val="24"/>
              </w:rPr>
              <w:t>dos</w:t>
            </w:r>
            <w:r>
              <w:rPr>
                <w:b/>
                <w:spacing w:val="-2"/>
                <w:sz w:val="24"/>
              </w:rPr>
              <w:t> serviços/contratos</w:t>
            </w:r>
          </w:p>
        </w:tc>
        <w:tc>
          <w:tcPr>
            <w:tcW w:w="1539" w:type="dxa"/>
          </w:tcPr>
          <w:p>
            <w:pPr>
              <w:pStyle w:val="TableParagraph"/>
              <w:spacing w:before="239"/>
              <w:ind w:left="354" w:right="344" w:firstLine="120"/>
              <w:rPr>
                <w:b/>
                <w:sz w:val="24"/>
              </w:rPr>
            </w:pPr>
            <w:r>
              <w:rPr>
                <w:b/>
                <w:spacing w:val="-2"/>
                <w:sz w:val="24"/>
              </w:rPr>
              <w:t>Valor previsto</w:t>
            </w:r>
          </w:p>
        </w:tc>
      </w:tr>
      <w:tr>
        <w:trPr>
          <w:trHeight w:val="810" w:hRule="atLeast"/>
        </w:trPr>
        <w:tc>
          <w:tcPr>
            <w:tcW w:w="696" w:type="dxa"/>
          </w:tcPr>
          <w:p>
            <w:pPr>
              <w:pStyle w:val="TableParagraph"/>
              <w:spacing w:before="267"/>
              <w:rPr>
                <w:sz w:val="24"/>
              </w:rPr>
            </w:pPr>
            <w:r>
              <w:rPr>
                <w:spacing w:val="-10"/>
                <w:sz w:val="24"/>
              </w:rPr>
              <w:t>1</w:t>
            </w:r>
          </w:p>
        </w:tc>
        <w:tc>
          <w:tcPr>
            <w:tcW w:w="1983" w:type="dxa"/>
          </w:tcPr>
          <w:p>
            <w:pPr>
              <w:pStyle w:val="TableParagraph"/>
              <w:spacing w:before="136"/>
              <w:ind w:right="176"/>
              <w:rPr>
                <w:rFonts w:ascii="Calibri" w:hAnsi="Calibri"/>
                <w:sz w:val="22"/>
              </w:rPr>
            </w:pPr>
            <w:r>
              <w:rPr>
                <w:rFonts w:ascii="Calibri" w:hAnsi="Calibri"/>
                <w:spacing w:val="-2"/>
                <w:sz w:val="22"/>
              </w:rPr>
              <w:t>INEXIGIBILIDADE </w:t>
            </w:r>
            <w:r>
              <w:rPr>
                <w:rFonts w:ascii="Calibri" w:hAnsi="Calibri"/>
                <w:sz w:val="22"/>
              </w:rPr>
              <w:t>DE LICITAÇÃO</w:t>
            </w:r>
          </w:p>
        </w:tc>
        <w:tc>
          <w:tcPr>
            <w:tcW w:w="4823" w:type="dxa"/>
          </w:tcPr>
          <w:p>
            <w:pPr>
              <w:pStyle w:val="TableParagraph"/>
              <w:spacing w:before="128"/>
              <w:rPr>
                <w:sz w:val="24"/>
              </w:rPr>
            </w:pPr>
            <w:r>
              <w:rPr>
                <w:sz w:val="24"/>
              </w:rPr>
              <w:t>Contratação</w:t>
            </w:r>
            <w:r>
              <w:rPr>
                <w:spacing w:val="-10"/>
                <w:sz w:val="24"/>
              </w:rPr>
              <w:t> </w:t>
            </w:r>
            <w:r>
              <w:rPr>
                <w:sz w:val="24"/>
              </w:rPr>
              <w:t>de</w:t>
            </w:r>
            <w:r>
              <w:rPr>
                <w:spacing w:val="-11"/>
                <w:sz w:val="24"/>
              </w:rPr>
              <w:t> </w:t>
            </w:r>
            <w:r>
              <w:rPr>
                <w:sz w:val="24"/>
              </w:rPr>
              <w:t>serviço</w:t>
            </w:r>
            <w:r>
              <w:rPr>
                <w:spacing w:val="-10"/>
                <w:sz w:val="24"/>
              </w:rPr>
              <w:t> </w:t>
            </w:r>
            <w:r>
              <w:rPr>
                <w:sz w:val="24"/>
              </w:rPr>
              <w:t>de</w:t>
            </w:r>
            <w:r>
              <w:rPr>
                <w:spacing w:val="-11"/>
                <w:sz w:val="24"/>
              </w:rPr>
              <w:t> </w:t>
            </w:r>
            <w:r>
              <w:rPr>
                <w:sz w:val="24"/>
              </w:rPr>
              <w:t>assessoramento </w:t>
            </w:r>
            <w:r>
              <w:rPr>
                <w:spacing w:val="-2"/>
                <w:sz w:val="24"/>
              </w:rPr>
              <w:t>jurídico</w:t>
            </w:r>
          </w:p>
        </w:tc>
        <w:tc>
          <w:tcPr>
            <w:tcW w:w="1539" w:type="dxa"/>
          </w:tcPr>
          <w:p>
            <w:pPr>
              <w:pStyle w:val="TableParagraph"/>
              <w:spacing w:before="267"/>
              <w:rPr>
                <w:sz w:val="24"/>
              </w:rPr>
            </w:pPr>
            <w:r>
              <w:rPr>
                <w:sz w:val="24"/>
              </w:rPr>
              <w:t>R$ </w:t>
            </w:r>
            <w:r>
              <w:rPr>
                <w:spacing w:val="-2"/>
                <w:sz w:val="24"/>
              </w:rPr>
              <w:t>46.800,00</w:t>
            </w:r>
          </w:p>
        </w:tc>
      </w:tr>
      <w:tr>
        <w:trPr>
          <w:trHeight w:val="1656" w:hRule="atLeast"/>
        </w:trPr>
        <w:tc>
          <w:tcPr>
            <w:tcW w:w="696" w:type="dxa"/>
          </w:tcPr>
          <w:p>
            <w:pPr>
              <w:pStyle w:val="TableParagraph"/>
              <w:ind w:left="0"/>
              <w:rPr>
                <w:sz w:val="24"/>
              </w:rPr>
            </w:pPr>
          </w:p>
          <w:p>
            <w:pPr>
              <w:pStyle w:val="TableParagraph"/>
              <w:spacing w:before="136"/>
              <w:ind w:left="0"/>
              <w:rPr>
                <w:sz w:val="24"/>
              </w:rPr>
            </w:pPr>
          </w:p>
          <w:p>
            <w:pPr>
              <w:pStyle w:val="TableParagraph"/>
              <w:rPr>
                <w:sz w:val="24"/>
              </w:rPr>
            </w:pPr>
            <w:r>
              <w:rPr>
                <w:spacing w:val="-10"/>
                <w:sz w:val="24"/>
              </w:rPr>
              <w:t>2</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rPr>
                <w:sz w:val="24"/>
              </w:rPr>
            </w:pPr>
            <w:r>
              <w:rPr>
                <w:sz w:val="24"/>
              </w:rPr>
              <w:t>Contratação de serviço de assessoria de imprensa, planejamento, manutenção e atualização</w:t>
            </w:r>
            <w:r>
              <w:rPr>
                <w:spacing w:val="-5"/>
                <w:sz w:val="24"/>
              </w:rPr>
              <w:t> </w:t>
            </w:r>
            <w:r>
              <w:rPr>
                <w:sz w:val="24"/>
              </w:rPr>
              <w:t>do</w:t>
            </w:r>
            <w:r>
              <w:rPr>
                <w:spacing w:val="-5"/>
                <w:sz w:val="24"/>
              </w:rPr>
              <w:t> </w:t>
            </w:r>
            <w:r>
              <w:rPr>
                <w:sz w:val="24"/>
              </w:rPr>
              <w:t>site</w:t>
            </w:r>
            <w:r>
              <w:rPr>
                <w:spacing w:val="-5"/>
                <w:sz w:val="24"/>
              </w:rPr>
              <w:t> </w:t>
            </w:r>
            <w:r>
              <w:rPr>
                <w:sz w:val="24"/>
              </w:rPr>
              <w:t>e</w:t>
            </w:r>
            <w:r>
              <w:rPr>
                <w:spacing w:val="-7"/>
                <w:sz w:val="24"/>
              </w:rPr>
              <w:t> </w:t>
            </w:r>
            <w:r>
              <w:rPr>
                <w:sz w:val="24"/>
              </w:rPr>
              <w:t>redes</w:t>
            </w:r>
            <w:r>
              <w:rPr>
                <w:spacing w:val="-5"/>
                <w:sz w:val="24"/>
              </w:rPr>
              <w:t> </w:t>
            </w:r>
            <w:r>
              <w:rPr>
                <w:sz w:val="24"/>
              </w:rPr>
              <w:t>sociais</w:t>
            </w:r>
            <w:r>
              <w:rPr>
                <w:spacing w:val="-5"/>
                <w:sz w:val="24"/>
              </w:rPr>
              <w:t> </w:t>
            </w:r>
            <w:r>
              <w:rPr>
                <w:sz w:val="24"/>
              </w:rPr>
              <w:t>da</w:t>
            </w:r>
            <w:r>
              <w:rPr>
                <w:spacing w:val="-5"/>
                <w:sz w:val="24"/>
              </w:rPr>
              <w:t> </w:t>
            </w:r>
            <w:r>
              <w:rPr>
                <w:sz w:val="24"/>
              </w:rPr>
              <w:t>Câmara</w:t>
            </w:r>
            <w:r>
              <w:rPr>
                <w:spacing w:val="-7"/>
                <w:sz w:val="24"/>
              </w:rPr>
              <w:t> </w:t>
            </w:r>
            <w:r>
              <w:rPr>
                <w:sz w:val="24"/>
              </w:rPr>
              <w:t>de Vereadores de Travesseiro, como também a</w:t>
            </w:r>
          </w:p>
          <w:p>
            <w:pPr>
              <w:pStyle w:val="TableParagraph"/>
              <w:spacing w:line="270" w:lineRule="atLeast"/>
              <w:rPr>
                <w:sz w:val="24"/>
              </w:rPr>
            </w:pPr>
            <w:r>
              <w:rPr>
                <w:sz w:val="24"/>
              </w:rPr>
              <w:t>filmagem</w:t>
            </w:r>
            <w:r>
              <w:rPr>
                <w:spacing w:val="-7"/>
                <w:sz w:val="24"/>
              </w:rPr>
              <w:t> </w:t>
            </w:r>
            <w:r>
              <w:rPr>
                <w:sz w:val="24"/>
              </w:rPr>
              <w:t>das</w:t>
            </w:r>
            <w:r>
              <w:rPr>
                <w:spacing w:val="-7"/>
                <w:sz w:val="24"/>
              </w:rPr>
              <w:t> </w:t>
            </w:r>
            <w:r>
              <w:rPr>
                <w:sz w:val="24"/>
              </w:rPr>
              <w:t>Sessões</w:t>
            </w:r>
            <w:r>
              <w:rPr>
                <w:spacing w:val="-7"/>
                <w:sz w:val="24"/>
              </w:rPr>
              <w:t> </w:t>
            </w:r>
            <w:r>
              <w:rPr>
                <w:sz w:val="24"/>
              </w:rPr>
              <w:t>e</w:t>
            </w:r>
            <w:r>
              <w:rPr>
                <w:spacing w:val="-8"/>
                <w:sz w:val="24"/>
              </w:rPr>
              <w:t> </w:t>
            </w:r>
            <w:r>
              <w:rPr>
                <w:sz w:val="24"/>
              </w:rPr>
              <w:t>utilização</w:t>
            </w:r>
            <w:r>
              <w:rPr>
                <w:spacing w:val="-7"/>
                <w:sz w:val="24"/>
              </w:rPr>
              <w:t> </w:t>
            </w:r>
            <w:r>
              <w:rPr>
                <w:sz w:val="24"/>
              </w:rPr>
              <w:t>deste</w:t>
            </w:r>
            <w:r>
              <w:rPr>
                <w:spacing w:val="-7"/>
                <w:sz w:val="24"/>
              </w:rPr>
              <w:t> </w:t>
            </w:r>
            <w:r>
              <w:rPr>
                <w:sz w:val="24"/>
              </w:rPr>
              <w:t>mesmo material no site e redes sociais.</w:t>
            </w:r>
          </w:p>
        </w:tc>
        <w:tc>
          <w:tcPr>
            <w:tcW w:w="1539" w:type="dxa"/>
          </w:tcPr>
          <w:p>
            <w:pPr>
              <w:pStyle w:val="TableParagraph"/>
              <w:ind w:left="0"/>
              <w:rPr>
                <w:sz w:val="24"/>
              </w:rPr>
            </w:pPr>
          </w:p>
          <w:p>
            <w:pPr>
              <w:pStyle w:val="TableParagraph"/>
              <w:spacing w:before="136"/>
              <w:ind w:left="0"/>
              <w:rPr>
                <w:sz w:val="24"/>
              </w:rPr>
            </w:pPr>
          </w:p>
          <w:p>
            <w:pPr>
              <w:pStyle w:val="TableParagraph"/>
              <w:rPr>
                <w:sz w:val="24"/>
              </w:rPr>
            </w:pPr>
            <w:r>
              <w:rPr>
                <w:sz w:val="24"/>
              </w:rPr>
              <w:t>R$ </w:t>
            </w:r>
            <w:r>
              <w:rPr>
                <w:spacing w:val="-2"/>
                <w:sz w:val="24"/>
              </w:rPr>
              <w:t>20.220,00</w:t>
            </w:r>
          </w:p>
        </w:tc>
      </w:tr>
      <w:tr>
        <w:trPr>
          <w:trHeight w:val="1379" w:hRule="atLeast"/>
        </w:trPr>
        <w:tc>
          <w:tcPr>
            <w:tcW w:w="696" w:type="dxa"/>
          </w:tcPr>
          <w:p>
            <w:pPr>
              <w:pStyle w:val="TableParagraph"/>
              <w:spacing w:before="274"/>
              <w:ind w:left="0"/>
              <w:rPr>
                <w:sz w:val="24"/>
              </w:rPr>
            </w:pPr>
          </w:p>
          <w:p>
            <w:pPr>
              <w:pStyle w:val="TableParagraph"/>
              <w:spacing w:before="1"/>
              <w:rPr>
                <w:sz w:val="24"/>
              </w:rPr>
            </w:pPr>
            <w:r>
              <w:rPr>
                <w:spacing w:val="-10"/>
                <w:sz w:val="24"/>
              </w:rPr>
              <w:t>3</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line="276" w:lineRule="exact"/>
              <w:ind w:right="114"/>
              <w:rPr>
                <w:sz w:val="24"/>
              </w:rPr>
            </w:pPr>
            <w:r>
              <w:rPr>
                <w:sz w:val="24"/>
              </w:rPr>
              <w:t>Contratação</w:t>
            </w:r>
            <w:r>
              <w:rPr>
                <w:spacing w:val="-7"/>
                <w:sz w:val="24"/>
              </w:rPr>
              <w:t> </w:t>
            </w:r>
            <w:r>
              <w:rPr>
                <w:sz w:val="24"/>
              </w:rPr>
              <w:t>de</w:t>
            </w:r>
            <w:r>
              <w:rPr>
                <w:spacing w:val="-8"/>
                <w:sz w:val="24"/>
              </w:rPr>
              <w:t> </w:t>
            </w:r>
            <w:r>
              <w:rPr>
                <w:sz w:val="24"/>
              </w:rPr>
              <w:t>serviços</w:t>
            </w:r>
            <w:r>
              <w:rPr>
                <w:spacing w:val="-6"/>
                <w:sz w:val="24"/>
              </w:rPr>
              <w:t> </w:t>
            </w:r>
            <w:r>
              <w:rPr>
                <w:sz w:val="24"/>
              </w:rPr>
              <w:t>de</w:t>
            </w:r>
            <w:r>
              <w:rPr>
                <w:spacing w:val="-8"/>
                <w:sz w:val="24"/>
              </w:rPr>
              <w:t> </w:t>
            </w:r>
            <w:r>
              <w:rPr>
                <w:sz w:val="24"/>
              </w:rPr>
              <w:t>hospedagem</w:t>
            </w:r>
            <w:r>
              <w:rPr>
                <w:spacing w:val="-7"/>
                <w:sz w:val="24"/>
              </w:rPr>
              <w:t> </w:t>
            </w:r>
            <w:r>
              <w:rPr>
                <w:sz w:val="24"/>
              </w:rPr>
              <w:t>do</w:t>
            </w:r>
            <w:r>
              <w:rPr>
                <w:spacing w:val="-7"/>
                <w:sz w:val="24"/>
              </w:rPr>
              <w:t> </w:t>
            </w:r>
            <w:r>
              <w:rPr>
                <w:sz w:val="24"/>
              </w:rPr>
              <w:t>site oficial</w:t>
            </w:r>
            <w:r>
              <w:rPr>
                <w:spacing w:val="-5"/>
                <w:sz w:val="24"/>
              </w:rPr>
              <w:t> </w:t>
            </w:r>
            <w:r>
              <w:rPr>
                <w:sz w:val="24"/>
              </w:rPr>
              <w:t>e</w:t>
            </w:r>
            <w:r>
              <w:rPr>
                <w:spacing w:val="-6"/>
                <w:sz w:val="24"/>
              </w:rPr>
              <w:t> </w:t>
            </w:r>
            <w:r>
              <w:rPr>
                <w:sz w:val="24"/>
              </w:rPr>
              <w:t>o</w:t>
            </w:r>
            <w:r>
              <w:rPr>
                <w:spacing w:val="-5"/>
                <w:sz w:val="24"/>
              </w:rPr>
              <w:t> </w:t>
            </w:r>
            <w:r>
              <w:rPr>
                <w:sz w:val="24"/>
              </w:rPr>
              <w:t>desenvolvimento</w:t>
            </w:r>
            <w:r>
              <w:rPr>
                <w:spacing w:val="-5"/>
                <w:sz w:val="24"/>
              </w:rPr>
              <w:t> </w:t>
            </w:r>
            <w:r>
              <w:rPr>
                <w:sz w:val="24"/>
              </w:rPr>
              <w:t>de</w:t>
            </w:r>
            <w:r>
              <w:rPr>
                <w:spacing w:val="-6"/>
                <w:sz w:val="24"/>
              </w:rPr>
              <w:t> </w:t>
            </w:r>
            <w:r>
              <w:rPr>
                <w:sz w:val="24"/>
              </w:rPr>
              <w:t>Home</w:t>
            </w:r>
            <w:r>
              <w:rPr>
                <w:spacing w:val="-6"/>
                <w:sz w:val="24"/>
              </w:rPr>
              <w:t> </w:t>
            </w:r>
            <w:r>
              <w:rPr>
                <w:sz w:val="24"/>
              </w:rPr>
              <w:t>Page</w:t>
            </w:r>
            <w:r>
              <w:rPr>
                <w:spacing w:val="-6"/>
                <w:sz w:val="24"/>
              </w:rPr>
              <w:t> </w:t>
            </w:r>
            <w:r>
              <w:rPr>
                <w:sz w:val="24"/>
              </w:rPr>
              <w:t>que comporta o site </w:t>
            </w:r>
            <w:hyperlink r:id="rId6">
              <w:r>
                <w:rPr>
                  <w:sz w:val="24"/>
                </w:rPr>
                <w:t>www.travesseiro.rs.leg.br,</w:t>
              </w:r>
            </w:hyperlink>
            <w:r>
              <w:rPr>
                <w:sz w:val="24"/>
              </w:rPr>
              <w:t> devidamente registrado pela contratante junto ao órgão competente.</w:t>
            </w:r>
          </w:p>
        </w:tc>
        <w:tc>
          <w:tcPr>
            <w:tcW w:w="1539" w:type="dxa"/>
          </w:tcPr>
          <w:p>
            <w:pPr>
              <w:pStyle w:val="TableParagraph"/>
              <w:spacing w:before="274"/>
              <w:ind w:left="0"/>
              <w:rPr>
                <w:sz w:val="24"/>
              </w:rPr>
            </w:pPr>
          </w:p>
          <w:p>
            <w:pPr>
              <w:pStyle w:val="TableParagraph"/>
              <w:spacing w:before="1"/>
              <w:rPr>
                <w:sz w:val="24"/>
              </w:rPr>
            </w:pPr>
            <w:r>
              <w:rPr>
                <w:sz w:val="24"/>
              </w:rPr>
              <w:t>R$ </w:t>
            </w:r>
            <w:r>
              <w:rPr>
                <w:spacing w:val="-2"/>
                <w:sz w:val="24"/>
              </w:rPr>
              <w:t>5.982,00</w:t>
            </w:r>
          </w:p>
        </w:tc>
      </w:tr>
      <w:tr>
        <w:trPr>
          <w:trHeight w:val="863" w:hRule="atLeast"/>
        </w:trPr>
        <w:tc>
          <w:tcPr>
            <w:tcW w:w="696" w:type="dxa"/>
          </w:tcPr>
          <w:p>
            <w:pPr>
              <w:pStyle w:val="TableParagraph"/>
              <w:spacing w:before="15"/>
              <w:ind w:left="0"/>
              <w:rPr>
                <w:sz w:val="24"/>
              </w:rPr>
            </w:pPr>
          </w:p>
          <w:p>
            <w:pPr>
              <w:pStyle w:val="TableParagraph"/>
              <w:rPr>
                <w:sz w:val="24"/>
              </w:rPr>
            </w:pPr>
            <w:r>
              <w:rPr>
                <w:spacing w:val="-10"/>
                <w:sz w:val="24"/>
              </w:rPr>
              <w:t>4</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34"/>
              <w:rPr>
                <w:sz w:val="24"/>
              </w:rPr>
            </w:pPr>
            <w:r>
              <w:rPr>
                <w:sz w:val="24"/>
              </w:rPr>
              <w:t>Contratação de serviços de internet por fibra óptica,</w:t>
            </w:r>
            <w:r>
              <w:rPr>
                <w:spacing w:val="-1"/>
                <w:sz w:val="24"/>
              </w:rPr>
              <w:t> </w:t>
            </w:r>
            <w:r>
              <w:rPr>
                <w:sz w:val="24"/>
              </w:rPr>
              <w:t>provedor</w:t>
            </w:r>
            <w:r>
              <w:rPr>
                <w:spacing w:val="-1"/>
                <w:sz w:val="24"/>
              </w:rPr>
              <w:t> </w:t>
            </w:r>
            <w:r>
              <w:rPr>
                <w:sz w:val="24"/>
              </w:rPr>
              <w:t>de</w:t>
            </w:r>
            <w:r>
              <w:rPr>
                <w:spacing w:val="-2"/>
                <w:sz w:val="24"/>
              </w:rPr>
              <w:t> </w:t>
            </w:r>
            <w:r>
              <w:rPr>
                <w:sz w:val="24"/>
              </w:rPr>
              <w:t>acesso</w:t>
            </w:r>
            <w:r>
              <w:rPr>
                <w:spacing w:val="-1"/>
                <w:sz w:val="24"/>
              </w:rPr>
              <w:t> </w:t>
            </w:r>
            <w:r>
              <w:rPr>
                <w:sz w:val="24"/>
              </w:rPr>
              <w:t>às</w:t>
            </w:r>
            <w:r>
              <w:rPr>
                <w:spacing w:val="-1"/>
                <w:sz w:val="24"/>
              </w:rPr>
              <w:t> </w:t>
            </w:r>
            <w:r>
              <w:rPr>
                <w:sz w:val="24"/>
              </w:rPr>
              <w:t>redes</w:t>
            </w:r>
            <w:r>
              <w:rPr>
                <w:spacing w:val="1"/>
                <w:sz w:val="24"/>
              </w:rPr>
              <w:t> </w:t>
            </w:r>
            <w:r>
              <w:rPr>
                <w:sz w:val="24"/>
              </w:rPr>
              <w:t>e</w:t>
            </w:r>
            <w:r>
              <w:rPr>
                <w:spacing w:val="-1"/>
                <w:sz w:val="24"/>
              </w:rPr>
              <w:t> </w:t>
            </w:r>
            <w:r>
              <w:rPr>
                <w:spacing w:val="-2"/>
                <w:sz w:val="24"/>
              </w:rPr>
              <w:t>serviços</w:t>
            </w:r>
          </w:p>
          <w:p>
            <w:pPr>
              <w:pStyle w:val="TableParagraph"/>
              <w:spacing w:line="257" w:lineRule="exact" w:before="1"/>
              <w:rPr>
                <w:sz w:val="24"/>
              </w:rPr>
            </w:pPr>
            <w:r>
              <w:rPr>
                <w:sz w:val="24"/>
              </w:rPr>
              <w:t>de</w:t>
            </w:r>
            <w:r>
              <w:rPr>
                <w:spacing w:val="-3"/>
                <w:sz w:val="24"/>
              </w:rPr>
              <w:t> </w:t>
            </w:r>
            <w:r>
              <w:rPr>
                <w:sz w:val="24"/>
              </w:rPr>
              <w:t>comunicação</w:t>
            </w:r>
            <w:r>
              <w:rPr>
                <w:spacing w:val="-1"/>
                <w:sz w:val="24"/>
              </w:rPr>
              <w:t> </w:t>
            </w:r>
            <w:r>
              <w:rPr>
                <w:spacing w:val="-2"/>
                <w:sz w:val="24"/>
              </w:rPr>
              <w:t>multimídia</w:t>
            </w:r>
          </w:p>
        </w:tc>
        <w:tc>
          <w:tcPr>
            <w:tcW w:w="1539" w:type="dxa"/>
          </w:tcPr>
          <w:p>
            <w:pPr>
              <w:pStyle w:val="TableParagraph"/>
              <w:spacing w:before="15"/>
              <w:ind w:left="0"/>
              <w:rPr>
                <w:sz w:val="24"/>
              </w:rPr>
            </w:pPr>
          </w:p>
          <w:p>
            <w:pPr>
              <w:pStyle w:val="TableParagraph"/>
              <w:rPr>
                <w:sz w:val="24"/>
              </w:rPr>
            </w:pPr>
            <w:r>
              <w:rPr>
                <w:sz w:val="24"/>
              </w:rPr>
              <w:t>R$ </w:t>
            </w:r>
            <w:r>
              <w:rPr>
                <w:spacing w:val="-2"/>
                <w:sz w:val="24"/>
              </w:rPr>
              <w:t>2.400,00</w:t>
            </w:r>
          </w:p>
        </w:tc>
      </w:tr>
      <w:tr>
        <w:trPr>
          <w:trHeight w:val="861" w:hRule="atLeast"/>
        </w:trPr>
        <w:tc>
          <w:tcPr>
            <w:tcW w:w="696" w:type="dxa"/>
          </w:tcPr>
          <w:p>
            <w:pPr>
              <w:pStyle w:val="TableParagraph"/>
              <w:spacing w:before="15"/>
              <w:ind w:left="0"/>
              <w:rPr>
                <w:sz w:val="24"/>
              </w:rPr>
            </w:pPr>
          </w:p>
          <w:p>
            <w:pPr>
              <w:pStyle w:val="TableParagraph"/>
              <w:rPr>
                <w:sz w:val="24"/>
              </w:rPr>
            </w:pPr>
            <w:r>
              <w:rPr>
                <w:spacing w:val="-10"/>
                <w:sz w:val="24"/>
              </w:rPr>
              <w:t>5</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13"/>
              <w:ind w:left="0"/>
              <w:rPr>
                <w:sz w:val="24"/>
              </w:rPr>
            </w:pPr>
          </w:p>
          <w:p>
            <w:pPr>
              <w:pStyle w:val="TableParagraph"/>
              <w:spacing w:line="270" w:lineRule="atLeast"/>
              <w:rPr>
                <w:sz w:val="24"/>
              </w:rPr>
            </w:pPr>
            <w:r>
              <w:rPr>
                <w:sz w:val="24"/>
              </w:rPr>
              <w:t>Serviço</w:t>
            </w:r>
            <w:r>
              <w:rPr>
                <w:spacing w:val="-7"/>
                <w:sz w:val="24"/>
              </w:rPr>
              <w:t> </w:t>
            </w:r>
            <w:r>
              <w:rPr>
                <w:sz w:val="24"/>
              </w:rPr>
              <w:t>de</w:t>
            </w:r>
            <w:r>
              <w:rPr>
                <w:spacing w:val="-8"/>
                <w:sz w:val="24"/>
              </w:rPr>
              <w:t> </w:t>
            </w:r>
            <w:r>
              <w:rPr>
                <w:sz w:val="24"/>
              </w:rPr>
              <w:t>fornecimento</w:t>
            </w:r>
            <w:r>
              <w:rPr>
                <w:spacing w:val="-5"/>
                <w:sz w:val="24"/>
              </w:rPr>
              <w:t> </w:t>
            </w:r>
            <w:r>
              <w:rPr>
                <w:sz w:val="24"/>
              </w:rPr>
              <w:t>energia</w:t>
            </w:r>
            <w:r>
              <w:rPr>
                <w:spacing w:val="-7"/>
                <w:sz w:val="24"/>
              </w:rPr>
              <w:t> </w:t>
            </w:r>
            <w:r>
              <w:rPr>
                <w:sz w:val="24"/>
              </w:rPr>
              <w:t>elétrica</w:t>
            </w:r>
            <w:r>
              <w:rPr>
                <w:spacing w:val="-8"/>
                <w:sz w:val="24"/>
              </w:rPr>
              <w:t> </w:t>
            </w:r>
            <w:r>
              <w:rPr>
                <w:sz w:val="24"/>
              </w:rPr>
              <w:t>para</w:t>
            </w:r>
            <w:r>
              <w:rPr>
                <w:spacing w:val="-8"/>
                <w:sz w:val="24"/>
              </w:rPr>
              <w:t> </w:t>
            </w:r>
            <w:r>
              <w:rPr>
                <w:sz w:val="24"/>
              </w:rPr>
              <w:t>a Sede da Câmara de Vereadores.</w:t>
            </w:r>
          </w:p>
        </w:tc>
        <w:tc>
          <w:tcPr>
            <w:tcW w:w="1539" w:type="dxa"/>
          </w:tcPr>
          <w:p>
            <w:pPr>
              <w:pStyle w:val="TableParagraph"/>
              <w:spacing w:before="15"/>
              <w:ind w:left="0"/>
              <w:rPr>
                <w:sz w:val="24"/>
              </w:rPr>
            </w:pPr>
          </w:p>
          <w:p>
            <w:pPr>
              <w:pStyle w:val="TableParagraph"/>
              <w:rPr>
                <w:sz w:val="24"/>
              </w:rPr>
            </w:pPr>
            <w:r>
              <w:rPr>
                <w:sz w:val="24"/>
              </w:rPr>
              <w:t>R$ </w:t>
            </w:r>
            <w:r>
              <w:rPr>
                <w:spacing w:val="-2"/>
                <w:sz w:val="24"/>
              </w:rPr>
              <w:t>2.000,00</w:t>
            </w:r>
          </w:p>
        </w:tc>
      </w:tr>
      <w:tr>
        <w:trPr>
          <w:trHeight w:val="810" w:hRule="atLeast"/>
        </w:trPr>
        <w:tc>
          <w:tcPr>
            <w:tcW w:w="696" w:type="dxa"/>
          </w:tcPr>
          <w:p>
            <w:pPr>
              <w:pStyle w:val="TableParagraph"/>
              <w:spacing w:before="267"/>
              <w:rPr>
                <w:sz w:val="24"/>
              </w:rPr>
            </w:pPr>
            <w:r>
              <w:rPr>
                <w:spacing w:val="-10"/>
                <w:sz w:val="24"/>
              </w:rPr>
              <w:t>6</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128"/>
              <w:ind w:right="114"/>
              <w:rPr>
                <w:sz w:val="24"/>
              </w:rPr>
            </w:pPr>
            <w:r>
              <w:rPr>
                <w:sz w:val="24"/>
              </w:rPr>
              <w:t>Serviço</w:t>
            </w:r>
            <w:r>
              <w:rPr>
                <w:spacing w:val="-8"/>
                <w:sz w:val="24"/>
              </w:rPr>
              <w:t> </w:t>
            </w:r>
            <w:r>
              <w:rPr>
                <w:sz w:val="24"/>
              </w:rPr>
              <w:t>para</w:t>
            </w:r>
            <w:r>
              <w:rPr>
                <w:spacing w:val="-9"/>
                <w:sz w:val="24"/>
              </w:rPr>
              <w:t> </w:t>
            </w:r>
            <w:r>
              <w:rPr>
                <w:sz w:val="24"/>
              </w:rPr>
              <w:t>criação</w:t>
            </w:r>
            <w:r>
              <w:rPr>
                <w:spacing w:val="-8"/>
                <w:sz w:val="24"/>
              </w:rPr>
              <w:t> </w:t>
            </w:r>
            <w:r>
              <w:rPr>
                <w:sz w:val="24"/>
              </w:rPr>
              <w:t>de</w:t>
            </w:r>
            <w:r>
              <w:rPr>
                <w:spacing w:val="-8"/>
                <w:sz w:val="24"/>
              </w:rPr>
              <w:t> </w:t>
            </w:r>
            <w:r>
              <w:rPr>
                <w:sz w:val="24"/>
              </w:rPr>
              <w:t>Certificados</w:t>
            </w:r>
            <w:r>
              <w:rPr>
                <w:spacing w:val="-8"/>
                <w:sz w:val="24"/>
              </w:rPr>
              <w:t> </w:t>
            </w:r>
            <w:r>
              <w:rPr>
                <w:sz w:val="24"/>
              </w:rPr>
              <w:t>Digitais CPF A3 e CNPJ A1</w:t>
            </w:r>
          </w:p>
        </w:tc>
        <w:tc>
          <w:tcPr>
            <w:tcW w:w="1539" w:type="dxa"/>
          </w:tcPr>
          <w:p>
            <w:pPr>
              <w:pStyle w:val="TableParagraph"/>
              <w:spacing w:before="267"/>
              <w:rPr>
                <w:sz w:val="24"/>
              </w:rPr>
            </w:pPr>
            <w:r>
              <w:rPr>
                <w:spacing w:val="-2"/>
                <w:sz w:val="24"/>
              </w:rPr>
              <w:t>600,00</w:t>
            </w:r>
          </w:p>
        </w:tc>
      </w:tr>
      <w:tr>
        <w:trPr>
          <w:trHeight w:val="808" w:hRule="atLeast"/>
        </w:trPr>
        <w:tc>
          <w:tcPr>
            <w:tcW w:w="696" w:type="dxa"/>
          </w:tcPr>
          <w:p>
            <w:pPr>
              <w:pStyle w:val="TableParagraph"/>
              <w:spacing w:before="265"/>
              <w:rPr>
                <w:sz w:val="24"/>
              </w:rPr>
            </w:pPr>
            <w:r>
              <w:rPr>
                <w:spacing w:val="-10"/>
                <w:sz w:val="24"/>
              </w:rPr>
              <w:t>7</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126"/>
              <w:rPr>
                <w:sz w:val="24"/>
              </w:rPr>
            </w:pPr>
            <w:r>
              <w:rPr>
                <w:sz w:val="24"/>
              </w:rPr>
              <w:t>Inscrição</w:t>
            </w:r>
            <w:r>
              <w:rPr>
                <w:spacing w:val="-7"/>
                <w:sz w:val="24"/>
              </w:rPr>
              <w:t> </w:t>
            </w:r>
            <w:r>
              <w:rPr>
                <w:sz w:val="24"/>
              </w:rPr>
              <w:t>em</w:t>
            </w:r>
            <w:r>
              <w:rPr>
                <w:spacing w:val="-9"/>
                <w:sz w:val="24"/>
              </w:rPr>
              <w:t> </w:t>
            </w:r>
            <w:r>
              <w:rPr>
                <w:sz w:val="24"/>
              </w:rPr>
              <w:t>cursos</w:t>
            </w:r>
            <w:r>
              <w:rPr>
                <w:spacing w:val="-7"/>
                <w:sz w:val="24"/>
              </w:rPr>
              <w:t> </w:t>
            </w:r>
            <w:r>
              <w:rPr>
                <w:sz w:val="24"/>
              </w:rPr>
              <w:t>e</w:t>
            </w:r>
            <w:r>
              <w:rPr>
                <w:spacing w:val="-10"/>
                <w:sz w:val="24"/>
              </w:rPr>
              <w:t> </w:t>
            </w:r>
            <w:r>
              <w:rPr>
                <w:sz w:val="24"/>
              </w:rPr>
              <w:t>treinamentos</w:t>
            </w:r>
            <w:r>
              <w:rPr>
                <w:spacing w:val="-9"/>
                <w:sz w:val="24"/>
              </w:rPr>
              <w:t> </w:t>
            </w:r>
            <w:r>
              <w:rPr>
                <w:sz w:val="24"/>
              </w:rPr>
              <w:t>para </w:t>
            </w:r>
            <w:r>
              <w:rPr>
                <w:spacing w:val="-2"/>
                <w:sz w:val="24"/>
              </w:rPr>
              <w:t>servidores</w:t>
            </w:r>
          </w:p>
        </w:tc>
        <w:tc>
          <w:tcPr>
            <w:tcW w:w="1539" w:type="dxa"/>
          </w:tcPr>
          <w:p>
            <w:pPr>
              <w:pStyle w:val="TableParagraph"/>
              <w:spacing w:before="265"/>
              <w:rPr>
                <w:sz w:val="24"/>
              </w:rPr>
            </w:pPr>
            <w:r>
              <w:rPr>
                <w:spacing w:val="-2"/>
                <w:sz w:val="24"/>
              </w:rPr>
              <w:t>5.000,00</w:t>
            </w:r>
          </w:p>
        </w:tc>
      </w:tr>
      <w:tr>
        <w:trPr>
          <w:trHeight w:val="808" w:hRule="atLeast"/>
        </w:trPr>
        <w:tc>
          <w:tcPr>
            <w:tcW w:w="696" w:type="dxa"/>
          </w:tcPr>
          <w:p>
            <w:pPr>
              <w:pStyle w:val="TableParagraph"/>
              <w:spacing w:line="275" w:lineRule="exact"/>
              <w:rPr>
                <w:sz w:val="24"/>
              </w:rPr>
            </w:pPr>
            <w:r>
              <w:rPr>
                <w:spacing w:val="-10"/>
                <w:sz w:val="24"/>
              </w:rPr>
              <w:t>8</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rPr>
                <w:sz w:val="24"/>
              </w:rPr>
            </w:pPr>
            <w:r>
              <w:rPr>
                <w:sz w:val="24"/>
              </w:rPr>
              <w:t>Aquisição</w:t>
            </w:r>
            <w:r>
              <w:rPr>
                <w:spacing w:val="-9"/>
                <w:sz w:val="24"/>
              </w:rPr>
              <w:t> </w:t>
            </w:r>
            <w:r>
              <w:rPr>
                <w:sz w:val="24"/>
              </w:rPr>
              <w:t>de</w:t>
            </w:r>
            <w:r>
              <w:rPr>
                <w:spacing w:val="-10"/>
                <w:sz w:val="24"/>
              </w:rPr>
              <w:t> </w:t>
            </w:r>
            <w:r>
              <w:rPr>
                <w:sz w:val="24"/>
              </w:rPr>
              <w:t>passagens</w:t>
            </w:r>
            <w:r>
              <w:rPr>
                <w:spacing w:val="-9"/>
                <w:sz w:val="24"/>
              </w:rPr>
              <w:t> </w:t>
            </w:r>
            <w:r>
              <w:rPr>
                <w:sz w:val="24"/>
              </w:rPr>
              <w:t>e</w:t>
            </w:r>
            <w:r>
              <w:rPr>
                <w:spacing w:val="-8"/>
                <w:sz w:val="24"/>
              </w:rPr>
              <w:t> </w:t>
            </w:r>
            <w:r>
              <w:rPr>
                <w:sz w:val="24"/>
              </w:rPr>
              <w:t>despesas</w:t>
            </w:r>
            <w:r>
              <w:rPr>
                <w:spacing w:val="-9"/>
                <w:sz w:val="24"/>
              </w:rPr>
              <w:t> </w:t>
            </w:r>
            <w:r>
              <w:rPr>
                <w:sz w:val="24"/>
              </w:rPr>
              <w:t>com </w:t>
            </w:r>
            <w:r>
              <w:rPr>
                <w:spacing w:val="-2"/>
                <w:sz w:val="24"/>
              </w:rPr>
              <w:t>locomoção</w:t>
            </w:r>
          </w:p>
        </w:tc>
        <w:tc>
          <w:tcPr>
            <w:tcW w:w="1539" w:type="dxa"/>
          </w:tcPr>
          <w:p>
            <w:pPr>
              <w:pStyle w:val="TableParagraph"/>
              <w:spacing w:line="275" w:lineRule="exact"/>
              <w:rPr>
                <w:sz w:val="24"/>
              </w:rPr>
            </w:pPr>
            <w:r>
              <w:rPr>
                <w:spacing w:val="-2"/>
                <w:sz w:val="24"/>
              </w:rPr>
              <w:t>20.000,00</w:t>
            </w:r>
          </w:p>
        </w:tc>
      </w:tr>
      <w:tr>
        <w:trPr>
          <w:trHeight w:val="809" w:hRule="atLeast"/>
        </w:trPr>
        <w:tc>
          <w:tcPr>
            <w:tcW w:w="696" w:type="dxa"/>
          </w:tcPr>
          <w:p>
            <w:pPr>
              <w:pStyle w:val="TableParagraph"/>
              <w:spacing w:before="266"/>
              <w:rPr>
                <w:sz w:val="24"/>
              </w:rPr>
            </w:pPr>
            <w:r>
              <w:rPr>
                <w:spacing w:val="-10"/>
                <w:sz w:val="24"/>
              </w:rPr>
              <w:t>9</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266"/>
              <w:rPr>
                <w:sz w:val="24"/>
              </w:rPr>
            </w:pPr>
            <w:r>
              <w:rPr>
                <w:sz w:val="24"/>
              </w:rPr>
              <w:t>Fornecimento</w:t>
            </w:r>
            <w:r>
              <w:rPr>
                <w:spacing w:val="-2"/>
                <w:sz w:val="24"/>
              </w:rPr>
              <w:t> </w:t>
            </w:r>
            <w:r>
              <w:rPr>
                <w:sz w:val="24"/>
              </w:rPr>
              <w:t>de</w:t>
            </w:r>
            <w:r>
              <w:rPr>
                <w:spacing w:val="-2"/>
                <w:sz w:val="24"/>
              </w:rPr>
              <w:t> diárias.</w:t>
            </w:r>
          </w:p>
        </w:tc>
        <w:tc>
          <w:tcPr>
            <w:tcW w:w="1539" w:type="dxa"/>
          </w:tcPr>
          <w:p>
            <w:pPr>
              <w:pStyle w:val="TableParagraph"/>
              <w:spacing w:before="266"/>
              <w:rPr>
                <w:sz w:val="24"/>
              </w:rPr>
            </w:pPr>
            <w:r>
              <w:rPr>
                <w:spacing w:val="-2"/>
                <w:sz w:val="24"/>
              </w:rPr>
              <w:t>24.000,00</w:t>
            </w:r>
          </w:p>
        </w:tc>
      </w:tr>
      <w:tr>
        <w:trPr>
          <w:trHeight w:val="810" w:hRule="atLeast"/>
        </w:trPr>
        <w:tc>
          <w:tcPr>
            <w:tcW w:w="696" w:type="dxa"/>
          </w:tcPr>
          <w:p>
            <w:pPr>
              <w:pStyle w:val="TableParagraph"/>
              <w:spacing w:before="267"/>
              <w:rPr>
                <w:sz w:val="24"/>
              </w:rPr>
            </w:pPr>
            <w:r>
              <w:rPr>
                <w:spacing w:val="-5"/>
                <w:sz w:val="24"/>
              </w:rPr>
              <w:t>10</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267"/>
              <w:rPr>
                <w:sz w:val="24"/>
              </w:rPr>
            </w:pPr>
            <w:r>
              <w:rPr>
                <w:sz w:val="24"/>
              </w:rPr>
              <w:t>Contrato</w:t>
            </w:r>
            <w:r>
              <w:rPr>
                <w:spacing w:val="-1"/>
                <w:sz w:val="24"/>
              </w:rPr>
              <w:t> </w:t>
            </w:r>
            <w:r>
              <w:rPr>
                <w:sz w:val="24"/>
              </w:rPr>
              <w:t>para</w:t>
            </w:r>
            <w:r>
              <w:rPr>
                <w:spacing w:val="-2"/>
                <w:sz w:val="24"/>
              </w:rPr>
              <w:t> </w:t>
            </w:r>
            <w:r>
              <w:rPr>
                <w:sz w:val="24"/>
              </w:rPr>
              <w:t>locação</w:t>
            </w:r>
            <w:r>
              <w:rPr>
                <w:spacing w:val="-1"/>
                <w:sz w:val="24"/>
              </w:rPr>
              <w:t> </w:t>
            </w:r>
            <w:r>
              <w:rPr>
                <w:sz w:val="24"/>
              </w:rPr>
              <w:t>de </w:t>
            </w:r>
            <w:r>
              <w:rPr>
                <w:spacing w:val="-2"/>
                <w:sz w:val="24"/>
              </w:rPr>
              <w:t>imóvel.</w:t>
            </w:r>
          </w:p>
        </w:tc>
        <w:tc>
          <w:tcPr>
            <w:tcW w:w="1539" w:type="dxa"/>
          </w:tcPr>
          <w:p>
            <w:pPr>
              <w:pStyle w:val="TableParagraph"/>
              <w:spacing w:before="267"/>
              <w:rPr>
                <w:sz w:val="24"/>
              </w:rPr>
            </w:pPr>
            <w:r>
              <w:rPr>
                <w:spacing w:val="-2"/>
                <w:sz w:val="24"/>
              </w:rPr>
              <w:t>15.600,00</w:t>
            </w:r>
          </w:p>
        </w:tc>
      </w:tr>
      <w:tr>
        <w:trPr>
          <w:trHeight w:val="808" w:hRule="atLeast"/>
        </w:trPr>
        <w:tc>
          <w:tcPr>
            <w:tcW w:w="696" w:type="dxa"/>
          </w:tcPr>
          <w:p>
            <w:pPr>
              <w:pStyle w:val="TableParagraph"/>
              <w:spacing w:before="265"/>
              <w:rPr>
                <w:sz w:val="24"/>
              </w:rPr>
            </w:pPr>
            <w:r>
              <w:rPr>
                <w:spacing w:val="-5"/>
                <w:sz w:val="24"/>
              </w:rPr>
              <w:t>11</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265"/>
              <w:rPr>
                <w:sz w:val="24"/>
              </w:rPr>
            </w:pPr>
            <w:r>
              <w:rPr>
                <w:sz w:val="24"/>
              </w:rPr>
              <w:t>Aquisição</w:t>
            </w:r>
            <w:r>
              <w:rPr>
                <w:spacing w:val="-1"/>
                <w:sz w:val="24"/>
              </w:rPr>
              <w:t> </w:t>
            </w:r>
            <w:r>
              <w:rPr>
                <w:sz w:val="24"/>
              </w:rPr>
              <w:t>de</w:t>
            </w:r>
            <w:r>
              <w:rPr>
                <w:spacing w:val="-2"/>
                <w:sz w:val="24"/>
              </w:rPr>
              <w:t> </w:t>
            </w:r>
            <w:r>
              <w:rPr>
                <w:sz w:val="24"/>
              </w:rPr>
              <w:t>Gêneros</w:t>
            </w:r>
            <w:r>
              <w:rPr>
                <w:spacing w:val="-1"/>
                <w:sz w:val="24"/>
              </w:rPr>
              <w:t> </w:t>
            </w:r>
            <w:r>
              <w:rPr>
                <w:spacing w:val="-2"/>
                <w:sz w:val="24"/>
              </w:rPr>
              <w:t>Alimentícios/cozinha</w:t>
            </w:r>
          </w:p>
        </w:tc>
        <w:tc>
          <w:tcPr>
            <w:tcW w:w="1539" w:type="dxa"/>
          </w:tcPr>
          <w:p>
            <w:pPr>
              <w:pStyle w:val="TableParagraph"/>
              <w:spacing w:before="265"/>
              <w:rPr>
                <w:sz w:val="24"/>
              </w:rPr>
            </w:pPr>
            <w:r>
              <w:rPr>
                <w:spacing w:val="-2"/>
                <w:sz w:val="24"/>
              </w:rPr>
              <w:t>1.500,00</w:t>
            </w:r>
          </w:p>
        </w:tc>
      </w:tr>
      <w:tr>
        <w:trPr>
          <w:trHeight w:val="808" w:hRule="atLeast"/>
        </w:trPr>
        <w:tc>
          <w:tcPr>
            <w:tcW w:w="696" w:type="dxa"/>
          </w:tcPr>
          <w:p>
            <w:pPr>
              <w:pStyle w:val="TableParagraph"/>
              <w:spacing w:before="265"/>
              <w:rPr>
                <w:sz w:val="24"/>
              </w:rPr>
            </w:pPr>
            <w:r>
              <w:rPr>
                <w:spacing w:val="-5"/>
                <w:sz w:val="24"/>
              </w:rPr>
              <w:t>12</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265"/>
              <w:rPr>
                <w:sz w:val="24"/>
              </w:rPr>
            </w:pPr>
            <w:r>
              <w:rPr>
                <w:sz w:val="24"/>
              </w:rPr>
              <w:t>Aquisição</w:t>
            </w:r>
            <w:r>
              <w:rPr>
                <w:spacing w:val="-3"/>
                <w:sz w:val="24"/>
              </w:rPr>
              <w:t> </w:t>
            </w:r>
            <w:r>
              <w:rPr>
                <w:sz w:val="24"/>
              </w:rPr>
              <w:t>de</w:t>
            </w:r>
            <w:r>
              <w:rPr>
                <w:spacing w:val="-1"/>
                <w:sz w:val="24"/>
              </w:rPr>
              <w:t> </w:t>
            </w:r>
            <w:r>
              <w:rPr>
                <w:sz w:val="24"/>
              </w:rPr>
              <w:t>Produtos de</w:t>
            </w:r>
            <w:r>
              <w:rPr>
                <w:spacing w:val="-1"/>
                <w:sz w:val="24"/>
              </w:rPr>
              <w:t> </w:t>
            </w:r>
            <w:r>
              <w:rPr>
                <w:sz w:val="24"/>
              </w:rPr>
              <w:t>limpeza</w:t>
            </w:r>
            <w:r>
              <w:rPr>
                <w:spacing w:val="29"/>
                <w:sz w:val="24"/>
              </w:rPr>
              <w:t>  </w:t>
            </w:r>
            <w:r>
              <w:rPr>
                <w:sz w:val="24"/>
              </w:rPr>
              <w:t>e</w:t>
            </w:r>
            <w:r>
              <w:rPr>
                <w:spacing w:val="-1"/>
                <w:sz w:val="24"/>
              </w:rPr>
              <w:t> </w:t>
            </w:r>
            <w:r>
              <w:rPr>
                <w:spacing w:val="-2"/>
                <w:sz w:val="24"/>
              </w:rPr>
              <w:t>higiene</w:t>
            </w:r>
          </w:p>
        </w:tc>
        <w:tc>
          <w:tcPr>
            <w:tcW w:w="1539" w:type="dxa"/>
          </w:tcPr>
          <w:p>
            <w:pPr>
              <w:pStyle w:val="TableParagraph"/>
              <w:spacing w:before="265"/>
              <w:rPr>
                <w:sz w:val="24"/>
              </w:rPr>
            </w:pPr>
            <w:r>
              <w:rPr>
                <w:spacing w:val="-2"/>
                <w:sz w:val="24"/>
              </w:rPr>
              <w:t>1.500,00</w:t>
            </w:r>
          </w:p>
        </w:tc>
      </w:tr>
    </w:tbl>
    <w:p>
      <w:pPr>
        <w:pStyle w:val="TableParagraph"/>
        <w:spacing w:after="0"/>
        <w:rPr>
          <w:sz w:val="24"/>
        </w:rPr>
        <w:sectPr>
          <w:pgSz w:w="11910" w:h="16840"/>
          <w:pgMar w:header="493" w:footer="0" w:top="2040" w:bottom="280" w:left="1417" w:right="992"/>
        </w:sectPr>
      </w:pPr>
    </w:p>
    <w:p>
      <w:pPr>
        <w:pStyle w:val="BodyText"/>
        <w:rPr>
          <w:sz w:val="20"/>
        </w:rPr>
      </w:pPr>
    </w:p>
    <w:p>
      <w:pPr>
        <w:pStyle w:val="BodyText"/>
        <w:spacing w:before="101"/>
        <w:rPr>
          <w:sz w:val="20"/>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1983"/>
        <w:gridCol w:w="4823"/>
        <w:gridCol w:w="1539"/>
      </w:tblGrid>
      <w:tr>
        <w:trPr>
          <w:trHeight w:val="808" w:hRule="atLeast"/>
        </w:trPr>
        <w:tc>
          <w:tcPr>
            <w:tcW w:w="696" w:type="dxa"/>
          </w:tcPr>
          <w:p>
            <w:pPr>
              <w:pStyle w:val="TableParagraph"/>
              <w:spacing w:before="265"/>
              <w:rPr>
                <w:sz w:val="24"/>
              </w:rPr>
            </w:pPr>
            <w:r>
              <w:rPr>
                <w:spacing w:val="-5"/>
                <w:sz w:val="24"/>
              </w:rPr>
              <w:t>13</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126"/>
              <w:rPr>
                <w:sz w:val="24"/>
              </w:rPr>
            </w:pPr>
            <w:r>
              <w:rPr>
                <w:sz w:val="24"/>
              </w:rPr>
              <w:t>Aquisição</w:t>
            </w:r>
            <w:r>
              <w:rPr>
                <w:spacing w:val="-6"/>
                <w:sz w:val="24"/>
              </w:rPr>
              <w:t> </w:t>
            </w:r>
            <w:r>
              <w:rPr>
                <w:sz w:val="24"/>
              </w:rPr>
              <w:t>de</w:t>
            </w:r>
            <w:r>
              <w:rPr>
                <w:spacing w:val="-7"/>
                <w:sz w:val="24"/>
              </w:rPr>
              <w:t> </w:t>
            </w:r>
            <w:r>
              <w:rPr>
                <w:sz w:val="24"/>
              </w:rPr>
              <w:t>flores,</w:t>
            </w:r>
            <w:r>
              <w:rPr>
                <w:spacing w:val="-6"/>
                <w:sz w:val="24"/>
              </w:rPr>
              <w:t> </w:t>
            </w:r>
            <w:r>
              <w:rPr>
                <w:sz w:val="24"/>
              </w:rPr>
              <w:t>coroas</w:t>
            </w:r>
            <w:r>
              <w:rPr>
                <w:spacing w:val="-6"/>
                <w:sz w:val="24"/>
              </w:rPr>
              <w:t> </w:t>
            </w:r>
            <w:r>
              <w:rPr>
                <w:sz w:val="24"/>
              </w:rPr>
              <w:t>de</w:t>
            </w:r>
            <w:r>
              <w:rPr>
                <w:spacing w:val="-7"/>
                <w:sz w:val="24"/>
              </w:rPr>
              <w:t> </w:t>
            </w:r>
            <w:r>
              <w:rPr>
                <w:sz w:val="24"/>
              </w:rPr>
              <w:t>flores,</w:t>
            </w:r>
            <w:r>
              <w:rPr>
                <w:spacing w:val="-6"/>
                <w:sz w:val="24"/>
              </w:rPr>
              <w:t> </w:t>
            </w:r>
            <w:r>
              <w:rPr>
                <w:sz w:val="24"/>
              </w:rPr>
              <w:t>vasos</w:t>
            </w:r>
            <w:r>
              <w:rPr>
                <w:spacing w:val="-6"/>
                <w:sz w:val="24"/>
              </w:rPr>
              <w:t> </w:t>
            </w:r>
            <w:r>
              <w:rPr>
                <w:sz w:val="24"/>
              </w:rPr>
              <w:t>e </w:t>
            </w:r>
            <w:r>
              <w:rPr>
                <w:spacing w:val="-2"/>
                <w:sz w:val="24"/>
              </w:rPr>
              <w:t>folhagens</w:t>
            </w:r>
          </w:p>
        </w:tc>
        <w:tc>
          <w:tcPr>
            <w:tcW w:w="1539" w:type="dxa"/>
          </w:tcPr>
          <w:p>
            <w:pPr>
              <w:pStyle w:val="TableParagraph"/>
              <w:spacing w:before="265"/>
              <w:rPr>
                <w:sz w:val="24"/>
              </w:rPr>
            </w:pPr>
            <w:r>
              <w:rPr>
                <w:spacing w:val="-2"/>
                <w:sz w:val="24"/>
              </w:rPr>
              <w:t>1.000,00</w:t>
            </w:r>
          </w:p>
        </w:tc>
      </w:tr>
      <w:tr>
        <w:trPr>
          <w:trHeight w:val="808" w:hRule="atLeast"/>
        </w:trPr>
        <w:tc>
          <w:tcPr>
            <w:tcW w:w="696" w:type="dxa"/>
          </w:tcPr>
          <w:p>
            <w:pPr>
              <w:pStyle w:val="TableParagraph"/>
              <w:spacing w:before="265"/>
              <w:rPr>
                <w:sz w:val="24"/>
              </w:rPr>
            </w:pPr>
            <w:r>
              <w:rPr>
                <w:spacing w:val="-5"/>
                <w:sz w:val="24"/>
              </w:rPr>
              <w:t>14</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128"/>
              <w:ind w:right="233"/>
              <w:rPr>
                <w:sz w:val="24"/>
              </w:rPr>
            </w:pPr>
            <w:r>
              <w:rPr>
                <w:sz w:val="24"/>
              </w:rPr>
              <w:t>Aquisição</w:t>
            </w:r>
            <w:r>
              <w:rPr>
                <w:spacing w:val="-8"/>
                <w:sz w:val="24"/>
              </w:rPr>
              <w:t> </w:t>
            </w:r>
            <w:r>
              <w:rPr>
                <w:sz w:val="24"/>
              </w:rPr>
              <w:t>de</w:t>
            </w:r>
            <w:r>
              <w:rPr>
                <w:spacing w:val="-9"/>
                <w:sz w:val="24"/>
              </w:rPr>
              <w:t> </w:t>
            </w:r>
            <w:r>
              <w:rPr>
                <w:sz w:val="24"/>
              </w:rPr>
              <w:t>Materiais</w:t>
            </w:r>
            <w:r>
              <w:rPr>
                <w:spacing w:val="-8"/>
                <w:sz w:val="24"/>
              </w:rPr>
              <w:t> </w:t>
            </w:r>
            <w:r>
              <w:rPr>
                <w:sz w:val="24"/>
              </w:rPr>
              <w:t>de</w:t>
            </w:r>
            <w:r>
              <w:rPr>
                <w:spacing w:val="-9"/>
                <w:sz w:val="24"/>
              </w:rPr>
              <w:t> </w:t>
            </w:r>
            <w:r>
              <w:rPr>
                <w:sz w:val="24"/>
              </w:rPr>
              <w:t>expediente</w:t>
            </w:r>
            <w:r>
              <w:rPr>
                <w:spacing w:val="-9"/>
                <w:sz w:val="24"/>
              </w:rPr>
              <w:t> </w:t>
            </w:r>
            <w:r>
              <w:rPr>
                <w:sz w:val="24"/>
              </w:rPr>
              <w:t>e </w:t>
            </w:r>
            <w:r>
              <w:rPr>
                <w:spacing w:val="-2"/>
                <w:sz w:val="24"/>
              </w:rPr>
              <w:t>gráficos</w:t>
            </w:r>
          </w:p>
        </w:tc>
        <w:tc>
          <w:tcPr>
            <w:tcW w:w="1539" w:type="dxa"/>
          </w:tcPr>
          <w:p>
            <w:pPr>
              <w:pStyle w:val="TableParagraph"/>
              <w:spacing w:before="265"/>
              <w:rPr>
                <w:sz w:val="24"/>
              </w:rPr>
            </w:pPr>
            <w:r>
              <w:rPr>
                <w:spacing w:val="-2"/>
                <w:sz w:val="24"/>
              </w:rPr>
              <w:t>2.000,00</w:t>
            </w:r>
          </w:p>
        </w:tc>
      </w:tr>
      <w:tr>
        <w:trPr>
          <w:trHeight w:val="827" w:hRule="atLeast"/>
        </w:trPr>
        <w:tc>
          <w:tcPr>
            <w:tcW w:w="696" w:type="dxa"/>
          </w:tcPr>
          <w:p>
            <w:pPr>
              <w:pStyle w:val="TableParagraph"/>
              <w:spacing w:before="275"/>
              <w:rPr>
                <w:sz w:val="24"/>
              </w:rPr>
            </w:pPr>
            <w:r>
              <w:rPr>
                <w:spacing w:val="-5"/>
                <w:sz w:val="24"/>
              </w:rPr>
              <w:t>15</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line="276" w:lineRule="exact"/>
              <w:ind w:right="114"/>
              <w:rPr>
                <w:sz w:val="24"/>
              </w:rPr>
            </w:pPr>
            <w:r>
              <w:rPr>
                <w:sz w:val="24"/>
              </w:rPr>
              <w:t>Aquisição</w:t>
            </w:r>
            <w:r>
              <w:rPr>
                <w:spacing w:val="-8"/>
                <w:sz w:val="24"/>
              </w:rPr>
              <w:t> </w:t>
            </w:r>
            <w:r>
              <w:rPr>
                <w:sz w:val="24"/>
              </w:rPr>
              <w:t>de</w:t>
            </w:r>
            <w:r>
              <w:rPr>
                <w:spacing w:val="-9"/>
                <w:sz w:val="24"/>
              </w:rPr>
              <w:t> </w:t>
            </w:r>
            <w:r>
              <w:rPr>
                <w:sz w:val="24"/>
              </w:rPr>
              <w:t>placas</w:t>
            </w:r>
            <w:r>
              <w:rPr>
                <w:spacing w:val="-8"/>
                <w:sz w:val="24"/>
              </w:rPr>
              <w:t> </w:t>
            </w:r>
            <w:r>
              <w:rPr>
                <w:sz w:val="24"/>
              </w:rPr>
              <w:t>de</w:t>
            </w:r>
            <w:r>
              <w:rPr>
                <w:spacing w:val="-9"/>
                <w:sz w:val="24"/>
              </w:rPr>
              <w:t> </w:t>
            </w:r>
            <w:r>
              <w:rPr>
                <w:sz w:val="24"/>
              </w:rPr>
              <w:t>homenagens,</w:t>
            </w:r>
            <w:r>
              <w:rPr>
                <w:spacing w:val="-8"/>
                <w:sz w:val="24"/>
              </w:rPr>
              <w:t> </w:t>
            </w:r>
            <w:r>
              <w:rPr>
                <w:sz w:val="24"/>
              </w:rPr>
              <w:t>quadros para compor galeria dos Presidentes e </w:t>
            </w:r>
            <w:r>
              <w:rPr>
                <w:spacing w:val="-2"/>
                <w:sz w:val="24"/>
              </w:rPr>
              <w:t>Vereadores</w:t>
            </w:r>
          </w:p>
        </w:tc>
        <w:tc>
          <w:tcPr>
            <w:tcW w:w="1539" w:type="dxa"/>
          </w:tcPr>
          <w:p>
            <w:pPr>
              <w:pStyle w:val="TableParagraph"/>
              <w:spacing w:before="275"/>
              <w:rPr>
                <w:sz w:val="24"/>
              </w:rPr>
            </w:pPr>
            <w:r>
              <w:rPr>
                <w:spacing w:val="-2"/>
                <w:sz w:val="24"/>
              </w:rPr>
              <w:t>4.000,00</w:t>
            </w:r>
          </w:p>
        </w:tc>
      </w:tr>
      <w:tr>
        <w:trPr>
          <w:trHeight w:val="811" w:hRule="atLeast"/>
        </w:trPr>
        <w:tc>
          <w:tcPr>
            <w:tcW w:w="696" w:type="dxa"/>
          </w:tcPr>
          <w:p>
            <w:pPr>
              <w:pStyle w:val="TableParagraph"/>
              <w:spacing w:before="268"/>
              <w:rPr>
                <w:sz w:val="24"/>
              </w:rPr>
            </w:pPr>
            <w:r>
              <w:rPr>
                <w:spacing w:val="-5"/>
                <w:sz w:val="24"/>
              </w:rPr>
              <w:t>16</w:t>
            </w:r>
          </w:p>
        </w:tc>
        <w:tc>
          <w:tcPr>
            <w:tcW w:w="1983" w:type="dxa"/>
          </w:tcPr>
          <w:p>
            <w:pPr>
              <w:pStyle w:val="TableParagraph"/>
              <w:spacing w:line="256" w:lineRule="auto"/>
              <w:ind w:right="683"/>
              <w:rPr>
                <w:rFonts w:ascii="Calibri" w:hAnsi="Calibri"/>
                <w:sz w:val="22"/>
              </w:rPr>
            </w:pPr>
            <w:r>
              <w:rPr>
                <w:rFonts w:ascii="Calibri" w:hAnsi="Calibri"/>
                <w:sz w:val="22"/>
              </w:rPr>
              <w:t>DISPENSA</w:t>
            </w:r>
            <w:r>
              <w:rPr>
                <w:rFonts w:ascii="Calibri" w:hAnsi="Calibri"/>
                <w:spacing w:val="-13"/>
                <w:sz w:val="22"/>
              </w:rPr>
              <w:t> </w:t>
            </w:r>
            <w:r>
              <w:rPr>
                <w:rFonts w:ascii="Calibri" w:hAnsi="Calibri"/>
                <w:sz w:val="22"/>
              </w:rPr>
              <w:t>DE </w:t>
            </w:r>
            <w:r>
              <w:rPr>
                <w:rFonts w:ascii="Calibri" w:hAnsi="Calibri"/>
                <w:spacing w:val="-2"/>
                <w:sz w:val="22"/>
              </w:rPr>
              <w:t>LICITAÇÃO</w:t>
            </w:r>
          </w:p>
        </w:tc>
        <w:tc>
          <w:tcPr>
            <w:tcW w:w="4823" w:type="dxa"/>
          </w:tcPr>
          <w:p>
            <w:pPr>
              <w:pStyle w:val="TableParagraph"/>
              <w:spacing w:before="128"/>
              <w:ind w:right="659"/>
              <w:rPr>
                <w:sz w:val="24"/>
              </w:rPr>
            </w:pPr>
            <w:r>
              <w:rPr>
                <w:sz w:val="24"/>
              </w:rPr>
              <w:t>Aquisição</w:t>
            </w:r>
            <w:r>
              <w:rPr>
                <w:spacing w:val="-8"/>
                <w:sz w:val="24"/>
              </w:rPr>
              <w:t> </w:t>
            </w:r>
            <w:r>
              <w:rPr>
                <w:sz w:val="24"/>
              </w:rPr>
              <w:t>de</w:t>
            </w:r>
            <w:r>
              <w:rPr>
                <w:spacing w:val="-9"/>
                <w:sz w:val="24"/>
              </w:rPr>
              <w:t> </w:t>
            </w:r>
            <w:r>
              <w:rPr>
                <w:sz w:val="24"/>
              </w:rPr>
              <w:t>materiais</w:t>
            </w:r>
            <w:r>
              <w:rPr>
                <w:spacing w:val="-8"/>
                <w:sz w:val="24"/>
              </w:rPr>
              <w:t> </w:t>
            </w:r>
            <w:r>
              <w:rPr>
                <w:sz w:val="24"/>
              </w:rPr>
              <w:t>e</w:t>
            </w:r>
            <w:r>
              <w:rPr>
                <w:spacing w:val="-7"/>
                <w:sz w:val="24"/>
              </w:rPr>
              <w:t> </w:t>
            </w:r>
            <w:r>
              <w:rPr>
                <w:sz w:val="24"/>
              </w:rPr>
              <w:t>equipamentos</w:t>
            </w:r>
            <w:r>
              <w:rPr>
                <w:spacing w:val="-8"/>
                <w:sz w:val="24"/>
              </w:rPr>
              <w:t> </w:t>
            </w:r>
            <w:r>
              <w:rPr>
                <w:sz w:val="24"/>
              </w:rPr>
              <w:t>de informática, áudio e som.</w:t>
            </w:r>
          </w:p>
        </w:tc>
        <w:tc>
          <w:tcPr>
            <w:tcW w:w="1539" w:type="dxa"/>
          </w:tcPr>
          <w:p>
            <w:pPr>
              <w:pStyle w:val="TableParagraph"/>
              <w:spacing w:before="268"/>
              <w:rPr>
                <w:sz w:val="24"/>
              </w:rPr>
            </w:pPr>
            <w:r>
              <w:rPr>
                <w:spacing w:val="-2"/>
                <w:sz w:val="24"/>
              </w:rPr>
              <w:t>3.000,00</w:t>
            </w:r>
          </w:p>
        </w:tc>
      </w:tr>
    </w:tbl>
    <w:sectPr>
      <w:pgSz w:w="11910" w:h="16840"/>
      <w:pgMar w:header="493" w:footer="0" w:top="2040" w:bottom="2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6352">
          <wp:simplePos x="0" y="0"/>
          <wp:positionH relativeFrom="page">
            <wp:posOffset>3594100</wp:posOffset>
          </wp:positionH>
          <wp:positionV relativeFrom="page">
            <wp:posOffset>313054</wp:posOffset>
          </wp:positionV>
          <wp:extent cx="600075" cy="6146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00075" cy="6146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6864">
              <wp:simplePos x="0" y="0"/>
              <wp:positionH relativeFrom="page">
                <wp:posOffset>2281554</wp:posOffset>
              </wp:positionH>
              <wp:positionV relativeFrom="page">
                <wp:posOffset>976629</wp:posOffset>
              </wp:positionV>
              <wp:extent cx="3268345" cy="3365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68345" cy="336550"/>
                      </a:xfrm>
                      <a:prstGeom prst="rect">
                        <a:avLst/>
                      </a:prstGeom>
                    </wps:spPr>
                    <wps:txbx>
                      <w:txbxContent>
                        <w:p>
                          <w:pPr>
                            <w:pStyle w:val="BodyText"/>
                            <w:spacing w:line="245" w:lineRule="exact"/>
                            <w:ind w:left="2"/>
                            <w:jc w:val="center"/>
                            <w:rPr>
                              <w:rFonts w:ascii="Calibri"/>
                            </w:rPr>
                          </w:pPr>
                          <w:r>
                            <w:rPr>
                              <w:rFonts w:ascii="Calibri"/>
                            </w:rPr>
                            <w:t>ESTADO</w:t>
                          </w:r>
                          <w:r>
                            <w:rPr>
                              <w:rFonts w:ascii="Calibri"/>
                              <w:spacing w:val="-4"/>
                            </w:rPr>
                            <w:t> </w:t>
                          </w:r>
                          <w:r>
                            <w:rPr>
                              <w:rFonts w:ascii="Calibri"/>
                            </w:rPr>
                            <w:t>DO</w:t>
                          </w:r>
                          <w:r>
                            <w:rPr>
                              <w:rFonts w:ascii="Calibri"/>
                              <w:spacing w:val="-5"/>
                            </w:rPr>
                            <w:t> </w:t>
                          </w:r>
                          <w:r>
                            <w:rPr>
                              <w:rFonts w:ascii="Calibri"/>
                            </w:rPr>
                            <w:t>RIO</w:t>
                          </w:r>
                          <w:r>
                            <w:rPr>
                              <w:rFonts w:ascii="Calibri"/>
                              <w:spacing w:val="-4"/>
                            </w:rPr>
                            <w:t> </w:t>
                          </w:r>
                          <w:r>
                            <w:rPr>
                              <w:rFonts w:ascii="Calibri"/>
                            </w:rPr>
                            <w:t>GRANDE</w:t>
                          </w:r>
                          <w:r>
                            <w:rPr>
                              <w:rFonts w:ascii="Calibri"/>
                              <w:spacing w:val="-5"/>
                            </w:rPr>
                            <w:t> </w:t>
                          </w:r>
                          <w:r>
                            <w:rPr>
                              <w:rFonts w:ascii="Calibri"/>
                            </w:rPr>
                            <w:t>DO</w:t>
                          </w:r>
                          <w:r>
                            <w:rPr>
                              <w:rFonts w:ascii="Calibri"/>
                              <w:spacing w:val="-1"/>
                            </w:rPr>
                            <w:t> </w:t>
                          </w:r>
                          <w:r>
                            <w:rPr>
                              <w:rFonts w:ascii="Calibri"/>
                              <w:spacing w:val="-5"/>
                            </w:rPr>
                            <w:t>SUL</w:t>
                          </w:r>
                        </w:p>
                        <w:p>
                          <w:pPr>
                            <w:spacing w:before="0"/>
                            <w:ind w:left="2" w:right="2" w:firstLine="0"/>
                            <w:jc w:val="center"/>
                            <w:rPr>
                              <w:rFonts w:ascii="Calibri" w:hAnsi="Calibri"/>
                              <w:b/>
                              <w:sz w:val="22"/>
                            </w:rPr>
                          </w:pPr>
                          <w:r>
                            <w:rPr>
                              <w:rFonts w:ascii="Calibri" w:hAnsi="Calibri"/>
                              <w:b/>
                              <w:sz w:val="22"/>
                            </w:rPr>
                            <w:t>CÂMARA</w:t>
                          </w:r>
                          <w:r>
                            <w:rPr>
                              <w:rFonts w:ascii="Calibri" w:hAnsi="Calibri"/>
                              <w:b/>
                              <w:spacing w:val="-3"/>
                              <w:sz w:val="22"/>
                            </w:rPr>
                            <w:t> </w:t>
                          </w:r>
                          <w:r>
                            <w:rPr>
                              <w:rFonts w:ascii="Calibri" w:hAnsi="Calibri"/>
                              <w:b/>
                              <w:sz w:val="22"/>
                            </w:rPr>
                            <w:t>MUNICIPAL</w:t>
                          </w:r>
                          <w:r>
                            <w:rPr>
                              <w:rFonts w:ascii="Calibri" w:hAnsi="Calibri"/>
                              <w:b/>
                              <w:spacing w:val="-6"/>
                              <w:sz w:val="22"/>
                            </w:rPr>
                            <w:t> </w:t>
                          </w:r>
                          <w:r>
                            <w:rPr>
                              <w:rFonts w:ascii="Calibri" w:hAnsi="Calibri"/>
                              <w:b/>
                              <w:sz w:val="22"/>
                            </w:rPr>
                            <w:t>DE</w:t>
                          </w:r>
                          <w:r>
                            <w:rPr>
                              <w:rFonts w:ascii="Calibri" w:hAnsi="Calibri"/>
                              <w:b/>
                              <w:spacing w:val="-6"/>
                              <w:sz w:val="22"/>
                            </w:rPr>
                            <w:t> </w:t>
                          </w:r>
                          <w:r>
                            <w:rPr>
                              <w:rFonts w:ascii="Calibri" w:hAnsi="Calibri"/>
                              <w:b/>
                              <w:sz w:val="22"/>
                            </w:rPr>
                            <w:t>VEREADORES</w:t>
                          </w:r>
                          <w:r>
                            <w:rPr>
                              <w:rFonts w:ascii="Calibri" w:hAnsi="Calibri"/>
                              <w:b/>
                              <w:spacing w:val="-2"/>
                              <w:sz w:val="22"/>
                            </w:rPr>
                            <w:t> </w:t>
                          </w:r>
                          <w:r>
                            <w:rPr>
                              <w:rFonts w:ascii="Calibri" w:hAnsi="Calibri"/>
                              <w:b/>
                              <w:sz w:val="22"/>
                            </w:rPr>
                            <w:t>DE</w:t>
                          </w:r>
                          <w:r>
                            <w:rPr>
                              <w:rFonts w:ascii="Calibri" w:hAnsi="Calibri"/>
                              <w:b/>
                              <w:spacing w:val="-5"/>
                              <w:sz w:val="22"/>
                            </w:rPr>
                            <w:t> </w:t>
                          </w:r>
                          <w:r>
                            <w:rPr>
                              <w:rFonts w:ascii="Calibri" w:hAnsi="Calibri"/>
                              <w:b/>
                              <w:spacing w:val="-2"/>
                              <w:sz w:val="22"/>
                            </w:rPr>
                            <w:t>TRAVESSEIRO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9.649994pt;margin-top:76.899986pt;width:257.3500pt;height:26.5pt;mso-position-horizontal-relative:page;mso-position-vertical-relative:page;z-index:-15919616" type="#_x0000_t202" id="docshape1" filled="false" stroked="false">
              <v:textbox inset="0,0,0,0">
                <w:txbxContent>
                  <w:p>
                    <w:pPr>
                      <w:pStyle w:val="BodyText"/>
                      <w:spacing w:line="245" w:lineRule="exact"/>
                      <w:ind w:left="2"/>
                      <w:jc w:val="center"/>
                      <w:rPr>
                        <w:rFonts w:ascii="Calibri"/>
                      </w:rPr>
                    </w:pPr>
                    <w:r>
                      <w:rPr>
                        <w:rFonts w:ascii="Calibri"/>
                      </w:rPr>
                      <w:t>ESTADO</w:t>
                    </w:r>
                    <w:r>
                      <w:rPr>
                        <w:rFonts w:ascii="Calibri"/>
                        <w:spacing w:val="-4"/>
                      </w:rPr>
                      <w:t> </w:t>
                    </w:r>
                    <w:r>
                      <w:rPr>
                        <w:rFonts w:ascii="Calibri"/>
                      </w:rPr>
                      <w:t>DO</w:t>
                    </w:r>
                    <w:r>
                      <w:rPr>
                        <w:rFonts w:ascii="Calibri"/>
                        <w:spacing w:val="-5"/>
                      </w:rPr>
                      <w:t> </w:t>
                    </w:r>
                    <w:r>
                      <w:rPr>
                        <w:rFonts w:ascii="Calibri"/>
                      </w:rPr>
                      <w:t>RIO</w:t>
                    </w:r>
                    <w:r>
                      <w:rPr>
                        <w:rFonts w:ascii="Calibri"/>
                        <w:spacing w:val="-4"/>
                      </w:rPr>
                      <w:t> </w:t>
                    </w:r>
                    <w:r>
                      <w:rPr>
                        <w:rFonts w:ascii="Calibri"/>
                      </w:rPr>
                      <w:t>GRANDE</w:t>
                    </w:r>
                    <w:r>
                      <w:rPr>
                        <w:rFonts w:ascii="Calibri"/>
                        <w:spacing w:val="-5"/>
                      </w:rPr>
                      <w:t> </w:t>
                    </w:r>
                    <w:r>
                      <w:rPr>
                        <w:rFonts w:ascii="Calibri"/>
                      </w:rPr>
                      <w:t>DO</w:t>
                    </w:r>
                    <w:r>
                      <w:rPr>
                        <w:rFonts w:ascii="Calibri"/>
                        <w:spacing w:val="-1"/>
                      </w:rPr>
                      <w:t> </w:t>
                    </w:r>
                    <w:r>
                      <w:rPr>
                        <w:rFonts w:ascii="Calibri"/>
                        <w:spacing w:val="-5"/>
                      </w:rPr>
                      <w:t>SUL</w:t>
                    </w:r>
                  </w:p>
                  <w:p>
                    <w:pPr>
                      <w:spacing w:before="0"/>
                      <w:ind w:left="2" w:right="2" w:firstLine="0"/>
                      <w:jc w:val="center"/>
                      <w:rPr>
                        <w:rFonts w:ascii="Calibri" w:hAnsi="Calibri"/>
                        <w:b/>
                        <w:sz w:val="22"/>
                      </w:rPr>
                    </w:pPr>
                    <w:r>
                      <w:rPr>
                        <w:rFonts w:ascii="Calibri" w:hAnsi="Calibri"/>
                        <w:b/>
                        <w:sz w:val="22"/>
                      </w:rPr>
                      <w:t>CÂMARA</w:t>
                    </w:r>
                    <w:r>
                      <w:rPr>
                        <w:rFonts w:ascii="Calibri" w:hAnsi="Calibri"/>
                        <w:b/>
                        <w:spacing w:val="-3"/>
                        <w:sz w:val="22"/>
                      </w:rPr>
                      <w:t> </w:t>
                    </w:r>
                    <w:r>
                      <w:rPr>
                        <w:rFonts w:ascii="Calibri" w:hAnsi="Calibri"/>
                        <w:b/>
                        <w:sz w:val="22"/>
                      </w:rPr>
                      <w:t>MUNICIPAL</w:t>
                    </w:r>
                    <w:r>
                      <w:rPr>
                        <w:rFonts w:ascii="Calibri" w:hAnsi="Calibri"/>
                        <w:b/>
                        <w:spacing w:val="-6"/>
                        <w:sz w:val="22"/>
                      </w:rPr>
                      <w:t> </w:t>
                    </w:r>
                    <w:r>
                      <w:rPr>
                        <w:rFonts w:ascii="Calibri" w:hAnsi="Calibri"/>
                        <w:b/>
                        <w:sz w:val="22"/>
                      </w:rPr>
                      <w:t>DE</w:t>
                    </w:r>
                    <w:r>
                      <w:rPr>
                        <w:rFonts w:ascii="Calibri" w:hAnsi="Calibri"/>
                        <w:b/>
                        <w:spacing w:val="-6"/>
                        <w:sz w:val="22"/>
                      </w:rPr>
                      <w:t> </w:t>
                    </w:r>
                    <w:r>
                      <w:rPr>
                        <w:rFonts w:ascii="Calibri" w:hAnsi="Calibri"/>
                        <w:b/>
                        <w:sz w:val="22"/>
                      </w:rPr>
                      <w:t>VEREADORES</w:t>
                    </w:r>
                    <w:r>
                      <w:rPr>
                        <w:rFonts w:ascii="Calibri" w:hAnsi="Calibri"/>
                        <w:b/>
                        <w:spacing w:val="-2"/>
                        <w:sz w:val="22"/>
                      </w:rPr>
                      <w:t> </w:t>
                    </w:r>
                    <w:r>
                      <w:rPr>
                        <w:rFonts w:ascii="Calibri" w:hAnsi="Calibri"/>
                        <w:b/>
                        <w:sz w:val="22"/>
                      </w:rPr>
                      <w:t>DE</w:t>
                    </w:r>
                    <w:r>
                      <w:rPr>
                        <w:rFonts w:ascii="Calibri" w:hAnsi="Calibri"/>
                        <w:b/>
                        <w:spacing w:val="-5"/>
                        <w:sz w:val="22"/>
                      </w:rPr>
                      <w:t> </w:t>
                    </w:r>
                    <w:r>
                      <w:rPr>
                        <w:rFonts w:ascii="Calibri" w:hAnsi="Calibri"/>
                        <w:b/>
                        <w:spacing w:val="-2"/>
                        <w:sz w:val="22"/>
                      </w:rPr>
                      <w:t>TRAVESSEIRO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upperRoman"/>
      <w:lvlText w:val="%1"/>
      <w:lvlJc w:val="left"/>
      <w:pPr>
        <w:ind w:left="345" w:hanging="202"/>
        <w:jc w:val="left"/>
      </w:pPr>
      <w:rPr>
        <w:rFonts w:hint="default" w:ascii="Times New Roman" w:hAnsi="Times New Roman" w:eastAsia="Times New Roman" w:cs="Times New Roman"/>
        <w:b w:val="0"/>
        <w:bCs w:val="0"/>
        <w:i w:val="0"/>
        <w:iCs w:val="0"/>
        <w:spacing w:val="-2"/>
        <w:w w:val="100"/>
        <w:sz w:val="22"/>
        <w:szCs w:val="22"/>
        <w:lang w:val="pt-PT" w:eastAsia="en-US" w:bidi="ar-SA"/>
      </w:rPr>
    </w:lvl>
    <w:lvl w:ilvl="1">
      <w:start w:val="1"/>
      <w:numFmt w:val="decimal"/>
      <w:lvlText w:val="%2."/>
      <w:lvlJc w:val="left"/>
      <w:pPr>
        <w:ind w:left="143" w:hanging="245"/>
        <w:jc w:val="left"/>
      </w:pPr>
      <w:rPr>
        <w:rFonts w:hint="default" w:ascii="Times New Roman" w:hAnsi="Times New Roman" w:eastAsia="Times New Roman" w:cs="Times New Roman"/>
        <w:b w:val="0"/>
        <w:bCs w:val="0"/>
        <w:i w:val="0"/>
        <w:iCs w:val="0"/>
        <w:spacing w:val="0"/>
        <w:w w:val="100"/>
        <w:sz w:val="22"/>
        <w:szCs w:val="22"/>
        <w:lang w:val="pt-PT" w:eastAsia="en-US" w:bidi="ar-SA"/>
      </w:rPr>
    </w:lvl>
    <w:lvl w:ilvl="2">
      <w:start w:val="1"/>
      <w:numFmt w:val="lowerLetter"/>
      <w:lvlText w:val="%3)"/>
      <w:lvlJc w:val="left"/>
      <w:pPr>
        <w:ind w:left="143" w:hanging="240"/>
        <w:jc w:val="left"/>
      </w:pPr>
      <w:rPr>
        <w:rFonts w:hint="default" w:ascii="Times New Roman" w:hAnsi="Times New Roman" w:eastAsia="Times New Roman" w:cs="Times New Roman"/>
        <w:b w:val="0"/>
        <w:bCs w:val="0"/>
        <w:i w:val="0"/>
        <w:iCs w:val="0"/>
        <w:spacing w:val="0"/>
        <w:w w:val="100"/>
        <w:sz w:val="22"/>
        <w:szCs w:val="22"/>
        <w:lang w:val="pt-PT" w:eastAsia="en-US" w:bidi="ar-SA"/>
      </w:rPr>
    </w:lvl>
    <w:lvl w:ilvl="3">
      <w:start w:val="0"/>
      <w:numFmt w:val="bullet"/>
      <w:lvlText w:val="•"/>
      <w:lvlJc w:val="left"/>
      <w:pPr>
        <w:ind w:left="2374" w:hanging="240"/>
      </w:pPr>
      <w:rPr>
        <w:rFonts w:hint="default"/>
        <w:lang w:val="pt-PT" w:eastAsia="en-US" w:bidi="ar-SA"/>
      </w:rPr>
    </w:lvl>
    <w:lvl w:ilvl="4">
      <w:start w:val="0"/>
      <w:numFmt w:val="bullet"/>
      <w:lvlText w:val="•"/>
      <w:lvlJc w:val="left"/>
      <w:pPr>
        <w:ind w:left="3392" w:hanging="240"/>
      </w:pPr>
      <w:rPr>
        <w:rFonts w:hint="default"/>
        <w:lang w:val="pt-PT" w:eastAsia="en-US" w:bidi="ar-SA"/>
      </w:rPr>
    </w:lvl>
    <w:lvl w:ilvl="5">
      <w:start w:val="0"/>
      <w:numFmt w:val="bullet"/>
      <w:lvlText w:val="•"/>
      <w:lvlJc w:val="left"/>
      <w:pPr>
        <w:ind w:left="4409" w:hanging="240"/>
      </w:pPr>
      <w:rPr>
        <w:rFonts w:hint="default"/>
        <w:lang w:val="pt-PT" w:eastAsia="en-US" w:bidi="ar-SA"/>
      </w:rPr>
    </w:lvl>
    <w:lvl w:ilvl="6">
      <w:start w:val="0"/>
      <w:numFmt w:val="bullet"/>
      <w:lvlText w:val="•"/>
      <w:lvlJc w:val="left"/>
      <w:pPr>
        <w:ind w:left="5427" w:hanging="240"/>
      </w:pPr>
      <w:rPr>
        <w:rFonts w:hint="default"/>
        <w:lang w:val="pt-PT" w:eastAsia="en-US" w:bidi="ar-SA"/>
      </w:rPr>
    </w:lvl>
    <w:lvl w:ilvl="7">
      <w:start w:val="0"/>
      <w:numFmt w:val="bullet"/>
      <w:lvlText w:val="•"/>
      <w:lvlJc w:val="left"/>
      <w:pPr>
        <w:ind w:left="6444" w:hanging="240"/>
      </w:pPr>
      <w:rPr>
        <w:rFonts w:hint="default"/>
        <w:lang w:val="pt-PT" w:eastAsia="en-US" w:bidi="ar-SA"/>
      </w:rPr>
    </w:lvl>
    <w:lvl w:ilvl="8">
      <w:start w:val="0"/>
      <w:numFmt w:val="bullet"/>
      <w:lvlText w:val="•"/>
      <w:lvlJc w:val="left"/>
      <w:pPr>
        <w:ind w:left="7462" w:hanging="24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pt-PT" w:eastAsia="en-US" w:bidi="ar-SA"/>
    </w:rPr>
  </w:style>
  <w:style w:styleId="Heading1" w:type="paragraph">
    <w:name w:val="Heading 1"/>
    <w:basedOn w:val="Normal"/>
    <w:uiPriority w:val="1"/>
    <w:qFormat/>
    <w:pPr>
      <w:ind w:left="33" w:right="33"/>
      <w:jc w:val="center"/>
      <w:outlineLvl w:val="1"/>
    </w:pPr>
    <w:rPr>
      <w:rFonts w:ascii="Times New Roman" w:hAnsi="Times New Roman" w:eastAsia="Times New Roman" w:cs="Times New Roman"/>
      <w:b/>
      <w:bCs/>
      <w:sz w:val="22"/>
      <w:szCs w:val="22"/>
      <w:lang w:val="pt-PT" w:eastAsia="en-US" w:bidi="ar-SA"/>
    </w:rPr>
  </w:style>
  <w:style w:styleId="Title" w:type="paragraph">
    <w:name w:val="Title"/>
    <w:basedOn w:val="Normal"/>
    <w:uiPriority w:val="1"/>
    <w:qFormat/>
    <w:pPr>
      <w:ind w:left="33" w:right="33"/>
      <w:jc w:val="center"/>
    </w:pPr>
    <w:rPr>
      <w:rFonts w:ascii="Times New Roman" w:hAnsi="Times New Roman" w:eastAsia="Times New Roman" w:cs="Times New Roman"/>
      <w:b/>
      <w:bCs/>
      <w:sz w:val="36"/>
      <w:szCs w:val="36"/>
      <w:lang w:val="pt-PT" w:eastAsia="en-US" w:bidi="ar-SA"/>
    </w:rPr>
  </w:style>
  <w:style w:styleId="ListParagraph" w:type="paragraph">
    <w:name w:val="List Paragraph"/>
    <w:basedOn w:val="Normal"/>
    <w:uiPriority w:val="1"/>
    <w:qFormat/>
    <w:pPr>
      <w:ind w:left="143"/>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travesseiro.rs.leg.br/" TargetMode="Externa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dcterms:created xsi:type="dcterms:W3CDTF">2025-04-10T17:07:52Z</dcterms:created>
  <dcterms:modified xsi:type="dcterms:W3CDTF">2025-04-10T17:07:52Z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2024</vt:lpwstr>
  </property>
  <property fmtid="{D5CDD505-2E9C-101B-9397-08002B2CF9AE}" pid="4" name="LastSaved">
    <vt:filetime>2025-04-10T00:00:00Z</vt:filetime>
  </property>
  <property fmtid="{D5CDD505-2E9C-101B-9397-08002B2CF9AE}" pid="5" name="Producer">
    <vt:lpwstr>Microsoft® Word 2024</vt:lpwstr>
  </property>
</Properties>
</file>